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Lassen A,etal.Effects of AKT inhibitor therapy in response and resistance to BRAF inhibition in melanoma.Mol Cancer. 2014 Apr 16;13:83. doi: 10.1186/1476-4598-13-83.</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Takeuchi K,etal.RET, ROS1 and ALK fusions in lung cancer.Nat Med. 2012 Feb 12;18(3):378-81. doi: 10.1038/nm.2658.</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GautschiO,etal.A patient with lung adenocarcinoma and RET fusion treated with vandetanib.JThoracOncol. 2013 May;8(5):e43-4. doi: 10.1097/JTO.0b013e31828a4d07.</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DrilonA,etal.Response to Cabozantinib in patients with RET fusion-positive lung adenocarcinomas.CancerDiscov. 2013 Jun;3(6):630-5. doi: 10.1158/2159-8290.CD-13-0035. Epub 2013 Mar 26.</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