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pruebas del proyecto PROMETEO</w:t>
      </w:r>
    </w:p>
    <w:p>
      <w:pPr>
        <w:pStyle w:val="Subtitle"/>
      </w:pPr>
      <w:r>
        <w:t>Taller de Investigación II</w:t>
      </w:r>
    </w:p>
    <w:p>
      <w:r>
        <w:t>Sistema web de tamizaje psicológico para estudiantes del TESVB</w:t>
      </w:r>
    </w:p>
    <w:p>
      <w:r>
        <w:t>Estudiante: ____________________    Grupo: __________</w:t>
        <w:br/>
        <w:t>Docente: ______________________</w:t>
        <w:br/>
        <w:t>Fecha de ejecución: 8 de octubre de 2026</w:t>
      </w:r>
    </w:p>
    <w:p>
      <w:pPr>
        <w:pStyle w:val="Heading1"/>
      </w:pPr>
      <w:r>
        <w:t>1 Presentación del avance</w:t>
      </w:r>
    </w:p>
    <w:p>
      <w:r>
        <w:t>Se verificaron los módulos de registro, autenticación y cuestionarios, además de controles de acceso y procesamiento de texto. La suite final obtuvo 125 pruebas aprobadas y 1272 aserciones. El avance corresponde a pruebas funcionales y de integración aislada; siguen pendientes la integración real con MariaDB y BETO y el cifrado de los datos sensibles identificados.</w:t>
      </w:r>
    </w:p>
    <w:p>
      <w:pPr>
        <w:pStyle w:val="Heading1"/>
      </w:pPr>
      <w:r>
        <w:t>2 Objetivo</w:t>
      </w:r>
    </w:p>
    <w:p>
      <w:r>
        <w:t>Verificar el funcionamiento de los módulos de PROMETEO y documentar los resultados y las limitaciones respecto de las actividades del cronograma: pruebas de módulos del 2 de octubre y pruebas de integración y seguridad del 9 de octubre.</w:t>
      </w:r>
    </w:p>
    <w:p>
      <w:pPr>
        <w:pStyle w:val="Heading1"/>
      </w:pPr>
      <w:r>
        <w:t>3 Alcance y metodología</w:t>
      </w:r>
    </w:p>
    <w:p>
      <w:r>
        <w:t>Se revisaron las pruebas existentes, se agregaron seis casos y se ejecutó PHPUnit mediante Laravel. Se emplearon cuentas y respuestas sintéticas, SQLite temporal en memoria y respuestas HTTP simuladas del servicio de IA. No se utilizaron expedientes reales ni se enviaron textos a servicios externos.</w:t>
      </w:r>
    </w:p>
    <w:p>
      <w:r>
        <w:t>Entorno de ejecución: Windows, PHP 8.2.12, Laravel 12 y PHPUnit 11.5.55. La configuración de pruebas exige SQLite en memoria e impide solicitudes HTTP externas no simuladas.</w:t>
      </w:r>
    </w:p>
    <w:p>
      <w:r>
        <w:t>Aunque el cronograma denomina la primera actividad como pruebas unitarias, la evidencia principal corresponde a pruebas funcionales y de integración: intervienen rutas, permisos, modelos y base de datos. Estos resultados no constituyen una validación clínica de los instrumentos.</w:t>
      </w:r>
    </w:p>
    <w:p>
      <w:r>
        <w:br w:type="page"/>
      </w:r>
    </w:p>
    <w:p>
      <w:pPr>
        <w:pStyle w:val="Heading1"/>
      </w:pPr>
      <w:r>
        <w:t>4 Matriz de pruebas</w:t>
      </w:r>
    </w:p>
    <w:p>
      <w:r>
        <w:t>La matriz resume los casos ejecutados y distingue los requisitos que aún no cuentan con evidencia de cumplimiento.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544"/>
        <w:gridCol w:w="2448"/>
      </w:tblGrid>
      <w:tr>
        <w:trPr>
          <w:cantSplit/>
          <w:tblHeader/>
        </w:trPr>
        <w:tc>
          <w:tcPr>
            <w:tcW w:type="dxa" w:w="1800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5544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Verificación realizada</w:t>
            </w:r>
          </w:p>
        </w:tc>
        <w:tc>
          <w:tcPr>
            <w:tcW w:type="dxa" w:w="244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Resultado y alcance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 01 Registro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Alta de usuario y persona, rol estudiante, consentimiento y rechazo de privilegios inyectados.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Aprobado en entorno aislado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 02 Autenticación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Acceso válido, contraseña incorrecta, cierre de sesión y bloqueo por intentos fallidos.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Aprobado en entorno aislado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 03 PHQ 9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Suma y persistencia de 9 respuestas; niveles y alertas para 0, 4, 5, 9, 10, 14, 15 y 27 puntos.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Aprobado según la lógica actual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 04 GAD 7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Suma y persistencia de 7 respuestas; niveles y alertas para 0, 4, 5, 9, 10, 14, 15 y 21 puntos.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Aprobado según la lógica actual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 05 DASS 21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29 escenarios de dimensiones y límites; multiplicador por dos, severidad global, validación y transacciones.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Aprobado con SQLite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01 Análisis IA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Cola de procesamiento, estados, reintentos, contrato de respuesta y rechazo de resultados obsoletos.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Aprobado con IA simulada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SEG 01 Roles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Rechazo de accesos no autorizados y permisos revocados; separación de información clínica.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Aprobado en casos cubiertos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SEG 02 SQL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Dos expresiones SQL en autenticación y búsqueda de instrumento sin eludir controles.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Aprobado en dos entradas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SEG 03 CSRF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Token ausente e incorrecto producen 419; token válido permite autenticación.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Aprobado en inicio de sesión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SEG 04 Contraseñas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Hash almacenado verificable y contraseña omitida de la serialización.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Aprobado para contraseñas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SEG 05 Cifrado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Revisión del diario, notas clínicas y respuestas de borradores.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Pendiente de corrección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02 Servicios reales</w:t>
            </w:r>
          </w:p>
        </w:tc>
        <w:tc>
          <w:tcPr>
            <w:tcW w:type="dxa" w:w="55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Flujo Laravel con MariaDB y BETO reales.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Pendiente de ejecución</w:t>
            </w:r>
          </w:p>
        </w:tc>
      </w:tr>
    </w:tbl>
    <w:p>
      <w:r>
        <w:br w:type="page"/>
      </w:r>
    </w:p>
    <w:p>
      <w:pPr>
        <w:pStyle w:val="Heading1"/>
      </w:pPr>
      <w:r>
        <w:t>5 Resultados de la ejecución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2664"/>
        <w:gridCol w:w="2664"/>
      </w:tblGrid>
      <w:tr>
        <w:trPr>
          <w:cantSplit/>
          <w:tblHeader/>
        </w:trPr>
        <w:tc>
          <w:tcPr>
            <w:tcW w:type="dxa" w:w="4464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Ejecución</w:t>
            </w:r>
          </w:p>
        </w:tc>
        <w:tc>
          <w:tcPr>
            <w:tcW w:type="dxa" w:w="2664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Pruebas aprobadas</w:t>
            </w:r>
          </w:p>
        </w:tc>
        <w:tc>
          <w:tcPr>
            <w:tcW w:type="dxa" w:w="2664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Aserciones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Suite previa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119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909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Casos agregados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363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Suite final conjunta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125</w:t>
            </w:r>
          </w:p>
        </w:tc>
        <w:tc>
          <w:tcPr>
            <w:tcW w:type="dxa" w:w="266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1272</w:t>
            </w:r>
          </w:p>
        </w:tc>
      </w:tr>
    </w:tbl>
    <w:p>
      <w:r>
        <w:t>La suite final terminó sin fallos en 56.88 segundos. Una aserción comprueba una condición específica; su cantidad no equivale a un porcentaje de cobertura ni garantiza la ausencia de defectos.</w:t>
      </w:r>
    </w:p>
    <w:p>
      <w:pPr>
        <w:spacing w:before="180" w:after="180"/>
      </w:pPr>
      <w:r>
        <w:rPr>
          <w:i/>
        </w:rPr>
        <w:t>[Espacio para figura 1: resumen de la ejecución con 125 pruebas y 1272 aserciones]</w:t>
      </w:r>
    </w:p>
    <w:p>
      <w:pPr>
        <w:pStyle w:val="Heading1"/>
      </w:pPr>
      <w:r>
        <w:t>6 Hallazgos y limitaciones</w:t>
      </w:r>
    </w:p>
    <w:p>
      <w:pPr>
        <w:pStyle w:val="Heading2"/>
      </w:pPr>
      <w:r>
        <w:t>Cifrado de datos sensibles</w:t>
      </w:r>
    </w:p>
    <w:p>
      <w:r>
        <w:t>No se encontró cifrado de aplicación en los modelos revisados para el texto del diario, la impresión diagnóstica, la retroalimentación al estudiante y las respuestas de borradores. Las columnas son de texto o JSON. No se verificó el cifrado de discos, tablas ni respaldos. Por tanto, este requisito no se acredita como cumplido.</w:t>
      </w:r>
    </w:p>
    <w:p>
      <w:r>
        <w:t>El hash de contraseñas y el código anónimo del estudiante no sustituyen el cifrado clínico. La corrección requiere inventariar campos, gestionar claves, convertir registros existentes y verificar tanto el almacenamiento como la lectura autorizada.</w:t>
      </w:r>
    </w:p>
    <w:p>
      <w:pPr>
        <w:pStyle w:val="Heading2"/>
      </w:pPr>
      <w:r>
        <w:t>Integración y alcance de seguridad</w:t>
      </w:r>
    </w:p>
    <w:p>
      <w:r>
        <w:t>Las respuestas simuladas y SQLite permiten comprobar la lógica, pero no la conexión con MariaDB, la configuración de BETO, los tiempos reales ni la concurrencia entre servicios. Las pruebas SQL y CSRF cubren puntos de entrada concretos; no constituyen una auditoría integral.</w:t>
      </w:r>
    </w:p>
    <w:p>
      <w:pPr>
        <w:pStyle w:val="Heading2"/>
      </w:pPr>
      <w:r>
        <w:t>Clasificación comprobada</w:t>
      </w:r>
    </w:p>
    <w:p>
      <w:r>
        <w:t>PHQ-9 y GAD-7 usan actualmente cuatro etiquetas en el sistema: nulo hasta 4 puntos, leve de 5 a 9, moderado de 10 a 14 y severo desde 15. Las pruebas comprobaron esta implementación. Su correspondencia con el protocolo académico y clínico aprobado requiere una revisión independiente.</w:t>
      </w:r>
    </w:p>
    <w:p>
      <w:r>
        <w:br w:type="page"/>
      </w:r>
    </w:p>
    <w:p>
      <w:pPr>
        <w:pStyle w:val="Heading1"/>
      </w:pPr>
      <w:r>
        <w:t>7 Actividades pendientes y cierre</w:t>
      </w:r>
    </w:p>
    <w:p>
      <w:r>
        <w:t>Para completar la integración real y la verificación del cifrado se propone el siguiente procedimiento en un entorno separado de pruebas.</w:t>
      </w:r>
    </w:p>
    <w:p>
      <w:r>
        <w:t>1. Preparar MariaDB, cola y servicio BETO de prueba. Registrar versiones y utilizar únicamente cuentas y textos sintéticos.</w:t>
      </w:r>
    </w:p>
    <w:p>
      <w:r>
        <w:t>2. Aplicar las migraciones a una base exclusiva de pruebas. Mantener la protección de la suite actual que exige SQLite en memoria.</w:t>
      </w:r>
    </w:p>
    <w:p>
      <w:r>
        <w:t>3. Registrar al estudiante, completar su expediente y aplicar cuestionarios con respuestas predeterminadas; contrastar los resultados con la matriz.</w:t>
      </w:r>
    </w:p>
    <w:p>
      <w:r>
        <w:t>4. Enviar una entrada sintética al diario, ejecutar el trabajador de la cola y registrar las transiciones del análisis hasta su finalización.</w:t>
      </w:r>
    </w:p>
    <w:p>
      <w:r>
        <w:t>5. Comprobar en MariaDB los campos persistidos frente a la respuesta real. Registrar cómo se envían PHQ-9 y GAD-7: el flujo documentado utiliza ceros de compatibilidad, que no representan cuestionarios aplicados.</w:t>
      </w:r>
    </w:p>
    <w:p>
      <w:r>
        <w:t>6. Verificar vistas permitidas y denegadas con cuentas de estudiante, tutor y psicólogo. Probar fallo y recuperación de la IA solo en ese entorno separado.</w:t>
      </w:r>
    </w:p>
    <w:p>
      <w:r>
        <w:t>7. Implementar el cifrado con conversión de registros previos; comprobar que el valor bruto no queda en claro y que la lectura autorizada funciona.</w:t>
      </w:r>
    </w:p>
    <w:p>
      <w:r>
        <w:t>8. Registrar por caso fecha, versión, entrada, resultado esperado y observado, estado, evidencia e incidencia. Marcar como aprobado únicamente lo ejecutado y comprobado.</w:t>
      </w:r>
    </w:p>
    <w:p>
      <w:pPr>
        <w:pStyle w:val="Heading1"/>
      </w:pPr>
      <w:r>
        <w:t>8 Conclusión</w:t>
      </w:r>
    </w:p>
    <w:p>
      <w:r>
        <w:t>Se verificaron mediante PHPUnit los módulos y controles incluidos en la matriz y se conservaron evidencias reproducibles. Se ampliaron los casos de límites de puntaje, entradas SQL, CSRF y contraseñas. La actividad de integración y seguridad permanece parcialmente completada hasta ejecutar el flujo real Laravel–MariaDB–BETO y resolver y comprobar el cifrado identificado como faltante.</w:t>
      </w:r>
    </w:p>
    <w:p>
      <w:r>
        <w:br w:type="page"/>
      </w:r>
    </w:p>
    <w:p>
      <w:pPr>
        <w:pStyle w:val="Heading1"/>
      </w:pPr>
      <w:r>
        <w:t>9 Evidencia visual de los módulos</w:t>
      </w:r>
    </w:p>
    <w:p>
      <w:r>
        <w:t>Las siguientes figuras complementarán los resultados automatizados con capturas del sistema. Cada imagen debe identificar el caso y utilizar datos de prueba. Una captura de la interfaz ilustra el funcionamiento; por sí sola no acredita todos los controles automatizados.</w:t>
      </w:r>
    </w:p>
    <w:p>
      <w:pPr>
        <w:pStyle w:val="Heading2"/>
      </w:pPr>
      <w:r>
        <w:t>Figura 2 Registro de usuario</w:t>
      </w:r>
    </w:p>
    <w:p>
      <w:r>
        <w:t>Formulario con datos sintéticos y confirmación de registro. Corresponde a MOD 01.</w:t>
      </w:r>
    </w:p>
    <w:p>
      <w:pPr>
        <w:spacing w:before="180" w:after="180"/>
      </w:pPr>
      <w:r>
        <w:rPr>
          <w:i/>
        </w:rPr>
        <w:t>[Espacio para figura 2: captura por incorporar]</w:t>
      </w:r>
    </w:p>
    <w:p>
      <w:pPr>
        <w:pStyle w:val="Heading2"/>
      </w:pPr>
      <w:r>
        <w:t>Figura 3 Inicio de sesión</w:t>
      </w:r>
    </w:p>
    <w:p>
      <w:r>
        <w:t>Acceso correcto y mensaje de rechazo ante contraseña incorrecta. Corresponde a MOD 02.</w:t>
      </w:r>
    </w:p>
    <w:p>
      <w:pPr>
        <w:spacing w:before="180" w:after="180"/>
      </w:pPr>
      <w:r>
        <w:rPr>
          <w:i/>
        </w:rPr>
        <w:t>[Espacio para figura 3: captura por incorporar]</w:t>
      </w:r>
    </w:p>
    <w:p>
      <w:pPr>
        <w:pStyle w:val="Heading2"/>
      </w:pPr>
      <w:r>
        <w:t>Figura 4 Resultado de PHQ 9</w:t>
      </w:r>
    </w:p>
    <w:p>
      <w:r>
        <w:t>Pantalla con nombre del instrumento, puntaje total y nivel mostrado. Corresponde a MOD 03.</w:t>
      </w:r>
    </w:p>
    <w:p>
      <w:pPr>
        <w:spacing w:before="180" w:after="180"/>
      </w:pPr>
      <w:r>
        <w:rPr>
          <w:i/>
        </w:rPr>
        <w:t>[Espacio para figura 4: captura por incorporar]</w:t>
      </w:r>
    </w:p>
    <w:p>
      <w:pPr>
        <w:pStyle w:val="Heading2"/>
      </w:pPr>
      <w:r>
        <w:t>Figura 5 Resultado de GAD 7</w:t>
      </w:r>
    </w:p>
    <w:p>
      <w:r>
        <w:t>Pantalla con nombre del instrumento, puntaje total y nivel mostrado. Corresponde a MOD 04.</w:t>
      </w:r>
    </w:p>
    <w:p>
      <w:pPr>
        <w:spacing w:before="180" w:after="180"/>
      </w:pPr>
      <w:r>
        <w:rPr>
          <w:i/>
        </w:rPr>
        <w:t>[Espacio para figura 5: captura por incorporar]</w:t>
      </w:r>
    </w:p>
    <w:p>
      <w:pPr>
        <w:pStyle w:val="Heading2"/>
      </w:pPr>
      <w:r>
        <w:t>Figura 6 Resultado de DASS 21</w:t>
      </w:r>
    </w:p>
    <w:p>
      <w:r>
        <w:t>Pantalla con puntajes y niveles de depresión, ansiedad y estrés. Corresponde a MOD 05.</w:t>
      </w:r>
    </w:p>
    <w:p>
      <w:pPr>
        <w:spacing w:before="180" w:after="180"/>
      </w:pPr>
      <w:r>
        <w:rPr>
          <w:i/>
        </w:rPr>
        <w:t>[Espacio para figura 6: captura por incorporar]</w:t>
      </w:r>
    </w:p>
    <w:p>
      <w:pPr>
        <w:pStyle w:val="Heading2"/>
      </w:pPr>
      <w:r>
        <w:t>Figura 7 Acceso por rol</w:t>
      </w:r>
    </w:p>
    <w:p>
      <w:r>
        <w:t>Mensaje de acceso denegado a una ruta restringida, indicando el rol utilizado. Corresponde a SEG 01.</w:t>
      </w:r>
    </w:p>
    <w:p>
      <w:pPr>
        <w:spacing w:before="180" w:after="180"/>
      </w:pPr>
      <w:r>
        <w:rPr>
          <w:i/>
        </w:rPr>
        <w:t>[Espacio para figura 7: captura por incorporar]</w:t>
      </w:r>
    </w:p>
    <w:p>
      <w:r>
        <w:t>Evidencia adicional para INT 02: cuando se ejecute el flujo real, incorporar el análisis completado del diario y su persistencia en MariaDB. Esa evidencia aún no se presenta como obtenida.</w:t>
      </w:r>
    </w:p>
    <w:p>
      <w:r>
        <w:br w:type="page"/>
      </w:r>
    </w:p>
    <w:p>
      <w:pPr>
        <w:pStyle w:val="Heading1"/>
      </w:pPr>
      <w:r>
        <w:t>10 Anexo de trazabilidad técnica</w:t>
      </w:r>
    </w:p>
    <w:p>
      <w:r>
        <w:t>Referencia del código antes de agregar pruebas:</w:t>
      </w:r>
    </w:p>
    <w:p>
      <w:r>
        <w:t>53b5acddacfa5b3232e25e89d43dea7f51828896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rPr>
          <w:cantSplit/>
          <w:tblHeader/>
        </w:trPr>
        <w:tc>
          <w:tcPr>
            <w:tcW w:type="dxa" w:w="2304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Casos</w:t>
            </w:r>
          </w:p>
        </w:tc>
        <w:tc>
          <w:tcPr>
            <w:tcW w:type="dxa" w:w="7488"/>
            <w:vAlign w:val="center"/>
            <w:shd w:fill="DCE6F1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Clases de prueba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 01 y MOD 02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RegistrationTest, AuthenticationTest y ConsentAndAccessTest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 03 y MOD 04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ResearchScheduleTest y QuestionnaireDraftTest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 05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ResearchScheduleTest y Dass21IntegrationTest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 01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AnalisisNlpProcessingTest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SEG 01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ConsentAndAccessTest, Dass21IntegrationTest y PendingExpedienteAuthorizationTest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SEG 02 a SEG 04</w:t>
            </w:r>
          </w:p>
        </w:tc>
        <w:tc>
          <w:tcPr>
            <w:tcW w:type="dxa" w:w="74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ResearchScheduleTest</w:t>
            </w:r>
          </w:p>
        </w:tc>
      </w:tr>
    </w:tbl>
    <w:p>
      <w:r>
        <w:t>Las clases se encuentran en tests/Feature; las de autenticación están en tests/Feature/Auth. ResearchScheduleTest contiene los seis casos añadidos para esta actividad.</w:t>
      </w:r>
    </w:p>
    <w:p>
      <w:pPr>
        <w:pStyle w:val="Heading2"/>
      </w:pPr>
      <w:r>
        <w:t>Archivos de evidencia</w:t>
      </w:r>
    </w:p>
    <w:p>
      <w:r>
        <w:t>Carpeta: docs/evidencias/taller-investigacion-ii</w:t>
      </w:r>
    </w:p>
    <w:p>
      <w:r>
        <w:t>ejecucion.txt: salida de la suite final.</w:t>
      </w:r>
    </w:p>
    <w:p>
      <w:r>
        <w:t>resultados-phpunit.xml: reporte estructurado de PHPUnit.</w:t>
      </w:r>
    </w:p>
    <w:p>
      <w:r>
        <w:t>tests/Feature/ResearchScheduleTest.php: casos agregados, desde la raíz del proyecto.</w:t>
      </w:r>
    </w:p>
    <w:p>
      <w:pPr>
        <w:pStyle w:val="Heading2"/>
      </w:pPr>
      <w:r>
        <w:t>Reproducción</w:t>
      </w:r>
    </w:p>
    <w:p>
      <w:r>
        <w:t>Desde la carpeta del proyecto, con las dependencias instaladas y sin configuración en caché:</w:t>
      </w:r>
    </w:p>
    <w:p>
      <w:r>
        <w:rPr>
          <w:rFonts w:ascii="Consolas" w:hAnsi="Consolas"/>
          <w:sz w:val="18"/>
        </w:rPr>
        <w:t>php artisan test --compact --filter=ResearchScheduleTest</w:t>
      </w:r>
    </w:p>
    <w:p>
      <w:r>
        <w:rPr>
          <w:rFonts w:ascii="Consolas" w:hAnsi="Consolas"/>
          <w:sz w:val="18"/>
        </w:rPr>
        <w:t>php artisan test --compact</w:t>
      </w:r>
    </w:p>
    <w:p>
      <w:r>
        <w:rPr>
          <w:rFonts w:ascii="Consolas" w:hAnsi="Consolas"/>
          <w:sz w:val="18"/>
        </w:rPr>
        <w:t>php artisan test --compact</w:t>
        <w:br/>
        <w:t xml:space="preserve">  --log-junit=docs/evidencias/taller-investigacion-ii/resultados-phpunit.xml</w:t>
      </w:r>
    </w:p>
    <w:p>
      <w:r>
        <w:t>La última instrucción se ejecuta en una sola línea. El reporte XML se reemplaza en cada ejecución; conservar una copia fechada para comparar entregas.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del proyecto PROMETEO</dc:title>
  <dc:subject>Taller de Investigación II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