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DFEDB" w14:textId="77F2A50A" w:rsidR="00CC68A1" w:rsidRDefault="00EF7F46">
      <w:r w:rsidRPr="00DF7307">
        <w:t>Cory Nichols</w:t>
      </w:r>
      <w:r w:rsidR="000933EC">
        <w:t xml:space="preserve"> – Problem Set Unit 13</w:t>
      </w:r>
      <w:bookmarkStart w:id="0" w:name="_GoBack"/>
      <w:bookmarkEnd w:id="0"/>
    </w:p>
    <w:p w14:paraId="56339DD3" w14:textId="77777777" w:rsidR="00CC68A1" w:rsidRDefault="00CC68A1"/>
    <w:p w14:paraId="04D37EEB" w14:textId="77777777" w:rsidR="00CC68A1" w:rsidRDefault="00CC68A1"/>
    <w:p w14:paraId="61405820" w14:textId="36812259" w:rsidR="007501E9" w:rsidRPr="008111CD" w:rsidRDefault="007501E9" w:rsidP="007501E9">
      <w:pPr>
        <w:pStyle w:val="ListParagraph"/>
        <w:numPr>
          <w:ilvl w:val="0"/>
          <w:numId w:val="40"/>
        </w:numPr>
        <w:rPr>
          <w:b/>
        </w:rPr>
      </w:pPr>
      <w:r w:rsidRPr="008111CD">
        <w:rPr>
          <w:b/>
        </w:rPr>
        <w:t xml:space="preserve">Principal Agent </w:t>
      </w:r>
      <w:r w:rsidR="008111CD">
        <w:rPr>
          <w:b/>
        </w:rPr>
        <w:t>with</w:t>
      </w:r>
      <w:r w:rsidRPr="008111CD">
        <w:rPr>
          <w:b/>
        </w:rPr>
        <w:t xml:space="preserve"> Monitoring</w:t>
      </w:r>
    </w:p>
    <w:p w14:paraId="7C81B1B1" w14:textId="77777777" w:rsidR="007501E9" w:rsidRDefault="007501E9"/>
    <w:p w14:paraId="6D64BF66" w14:textId="6BDD627B" w:rsidR="007501E9" w:rsidRDefault="007501E9">
      <w:r>
        <w:t xml:space="preserve">Both agents risk neutral with C(Eh) = 25 and C(El) = 0 </w:t>
      </w:r>
    </w:p>
    <w:p w14:paraId="4D0FA297" w14:textId="5B8D92AA" w:rsidR="007501E9" w:rsidRDefault="007501E9">
      <w:r>
        <w:t>Outside option utility is 225</w:t>
      </w:r>
    </w:p>
    <w:p w14:paraId="7832F5B9" w14:textId="0C0E64AC" w:rsidR="007501E9" w:rsidRDefault="007501E9">
      <w:r>
        <w:t>U(w,e) = w – e</w:t>
      </w:r>
    </w:p>
    <w:p w14:paraId="6F1D62D9" w14:textId="77777777" w:rsidR="007501E9" w:rsidRDefault="007501E9"/>
    <w:tbl>
      <w:tblPr>
        <w:tblStyle w:val="TableGrid"/>
        <w:tblW w:w="0" w:type="auto"/>
        <w:tblLook w:val="04A0" w:firstRow="1" w:lastRow="0" w:firstColumn="1" w:lastColumn="0" w:noHBand="0" w:noVBand="1"/>
      </w:tblPr>
      <w:tblGrid>
        <w:gridCol w:w="1870"/>
        <w:gridCol w:w="1870"/>
        <w:gridCol w:w="1870"/>
        <w:gridCol w:w="1870"/>
        <w:gridCol w:w="1870"/>
      </w:tblGrid>
      <w:tr w:rsidR="007501E9" w14:paraId="061475C0" w14:textId="77777777" w:rsidTr="007501E9">
        <w:tc>
          <w:tcPr>
            <w:tcW w:w="1870" w:type="dxa"/>
          </w:tcPr>
          <w:p w14:paraId="4E05752A" w14:textId="2218CBF3" w:rsidR="007501E9" w:rsidRDefault="007501E9" w:rsidP="00A03C61">
            <w:pPr>
              <w:jc w:val="center"/>
            </w:pPr>
          </w:p>
        </w:tc>
        <w:tc>
          <w:tcPr>
            <w:tcW w:w="1870" w:type="dxa"/>
          </w:tcPr>
          <w:p w14:paraId="426C9FBA" w14:textId="7A896EB7" w:rsidR="007501E9" w:rsidRDefault="007501E9" w:rsidP="00A03C61">
            <w:pPr>
              <w:jc w:val="center"/>
            </w:pPr>
            <w:r>
              <w:t>600 (xg)</w:t>
            </w:r>
          </w:p>
        </w:tc>
        <w:tc>
          <w:tcPr>
            <w:tcW w:w="1870" w:type="dxa"/>
          </w:tcPr>
          <w:p w14:paraId="5C3889BF" w14:textId="05695E44" w:rsidR="007501E9" w:rsidRDefault="007501E9" w:rsidP="00A03C61">
            <w:pPr>
              <w:jc w:val="center"/>
            </w:pPr>
            <w:r>
              <w:t>200 (xm)</w:t>
            </w:r>
          </w:p>
        </w:tc>
        <w:tc>
          <w:tcPr>
            <w:tcW w:w="1870" w:type="dxa"/>
          </w:tcPr>
          <w:p w14:paraId="000942CD" w14:textId="36520CE1" w:rsidR="007501E9" w:rsidRDefault="007501E9" w:rsidP="00A03C61">
            <w:pPr>
              <w:jc w:val="center"/>
            </w:pPr>
            <w:r>
              <w:t>0 (xb)</w:t>
            </w:r>
          </w:p>
        </w:tc>
        <w:tc>
          <w:tcPr>
            <w:tcW w:w="1870" w:type="dxa"/>
          </w:tcPr>
          <w:p w14:paraId="7E5460DA" w14:textId="0FDCE463" w:rsidR="007501E9" w:rsidRDefault="007501E9" w:rsidP="00A03C61">
            <w:pPr>
              <w:jc w:val="center"/>
            </w:pPr>
            <w:r>
              <w:t>E(Revenue)</w:t>
            </w:r>
          </w:p>
        </w:tc>
      </w:tr>
      <w:tr w:rsidR="007501E9" w14:paraId="4028AF6E" w14:textId="77777777" w:rsidTr="007501E9">
        <w:tc>
          <w:tcPr>
            <w:tcW w:w="1870" w:type="dxa"/>
          </w:tcPr>
          <w:p w14:paraId="59F5ECE3" w14:textId="28326430" w:rsidR="007501E9" w:rsidRDefault="007501E9" w:rsidP="00A03C61">
            <w:pPr>
              <w:jc w:val="center"/>
            </w:pPr>
            <w:r>
              <w:t>Eh</w:t>
            </w:r>
          </w:p>
        </w:tc>
        <w:tc>
          <w:tcPr>
            <w:tcW w:w="1870" w:type="dxa"/>
          </w:tcPr>
          <w:p w14:paraId="4A8DABC3" w14:textId="303A3E16" w:rsidR="007501E9" w:rsidRDefault="007501E9" w:rsidP="00A03C61">
            <w:pPr>
              <w:jc w:val="center"/>
            </w:pPr>
            <w:r>
              <w:t>0.75</w:t>
            </w:r>
          </w:p>
        </w:tc>
        <w:tc>
          <w:tcPr>
            <w:tcW w:w="1870" w:type="dxa"/>
          </w:tcPr>
          <w:p w14:paraId="380335E0" w14:textId="456C91C2" w:rsidR="007501E9" w:rsidRDefault="007501E9" w:rsidP="00A03C61">
            <w:pPr>
              <w:jc w:val="center"/>
            </w:pPr>
            <w:r>
              <w:t>0.2</w:t>
            </w:r>
          </w:p>
        </w:tc>
        <w:tc>
          <w:tcPr>
            <w:tcW w:w="1870" w:type="dxa"/>
          </w:tcPr>
          <w:p w14:paraId="6E36AAA3" w14:textId="7120890E" w:rsidR="007501E9" w:rsidRDefault="007501E9" w:rsidP="00A03C61">
            <w:pPr>
              <w:jc w:val="center"/>
            </w:pPr>
            <w:r>
              <w:t>0.05</w:t>
            </w:r>
          </w:p>
        </w:tc>
        <w:tc>
          <w:tcPr>
            <w:tcW w:w="1870" w:type="dxa"/>
          </w:tcPr>
          <w:p w14:paraId="423D2E5E" w14:textId="0836C62A" w:rsidR="007501E9" w:rsidRDefault="007501E9" w:rsidP="00A03C61">
            <w:pPr>
              <w:jc w:val="center"/>
            </w:pPr>
            <w:r>
              <w:t>490</w:t>
            </w:r>
          </w:p>
        </w:tc>
      </w:tr>
      <w:tr w:rsidR="007501E9" w14:paraId="669CB19D" w14:textId="77777777" w:rsidTr="007501E9">
        <w:tc>
          <w:tcPr>
            <w:tcW w:w="1870" w:type="dxa"/>
          </w:tcPr>
          <w:p w14:paraId="73DEDC49" w14:textId="385CF846" w:rsidR="007501E9" w:rsidRDefault="007501E9" w:rsidP="00A03C61">
            <w:pPr>
              <w:jc w:val="center"/>
            </w:pPr>
            <w:r>
              <w:t>El</w:t>
            </w:r>
          </w:p>
        </w:tc>
        <w:tc>
          <w:tcPr>
            <w:tcW w:w="1870" w:type="dxa"/>
          </w:tcPr>
          <w:p w14:paraId="47B5C7BE" w14:textId="61AD660D" w:rsidR="007501E9" w:rsidRDefault="007501E9" w:rsidP="00A03C61">
            <w:pPr>
              <w:jc w:val="center"/>
            </w:pPr>
            <w:r>
              <w:t>0.20</w:t>
            </w:r>
          </w:p>
        </w:tc>
        <w:tc>
          <w:tcPr>
            <w:tcW w:w="1870" w:type="dxa"/>
          </w:tcPr>
          <w:p w14:paraId="23BC9B2B" w14:textId="5430EBA5" w:rsidR="007501E9" w:rsidRDefault="007501E9" w:rsidP="00A03C61">
            <w:pPr>
              <w:jc w:val="center"/>
            </w:pPr>
            <w:r>
              <w:t>0.30</w:t>
            </w:r>
          </w:p>
        </w:tc>
        <w:tc>
          <w:tcPr>
            <w:tcW w:w="1870" w:type="dxa"/>
          </w:tcPr>
          <w:p w14:paraId="15997D9E" w14:textId="73CCFA7F" w:rsidR="007501E9" w:rsidRDefault="007501E9" w:rsidP="00A03C61">
            <w:pPr>
              <w:jc w:val="center"/>
            </w:pPr>
            <w:r>
              <w:t>0.50</w:t>
            </w:r>
          </w:p>
        </w:tc>
        <w:tc>
          <w:tcPr>
            <w:tcW w:w="1870" w:type="dxa"/>
          </w:tcPr>
          <w:p w14:paraId="3C74C454" w14:textId="19B2C703" w:rsidR="007501E9" w:rsidRDefault="007501E9" w:rsidP="00A03C61">
            <w:pPr>
              <w:jc w:val="center"/>
            </w:pPr>
            <w:r>
              <w:t>180</w:t>
            </w:r>
          </w:p>
        </w:tc>
      </w:tr>
    </w:tbl>
    <w:p w14:paraId="556614EB" w14:textId="77777777" w:rsidR="007501E9" w:rsidRDefault="007501E9"/>
    <w:p w14:paraId="04C4D3BB" w14:textId="29201C9A" w:rsidR="007501E9" w:rsidRPr="00036417" w:rsidRDefault="007501E9" w:rsidP="007501E9">
      <w:pPr>
        <w:pStyle w:val="ListParagraph"/>
        <w:numPr>
          <w:ilvl w:val="0"/>
          <w:numId w:val="41"/>
        </w:numPr>
        <w:rPr>
          <w:b/>
        </w:rPr>
      </w:pPr>
      <w:r w:rsidRPr="00036417">
        <w:rPr>
          <w:b/>
        </w:rPr>
        <w:t>Observable Case</w:t>
      </w:r>
    </w:p>
    <w:p w14:paraId="0C4AB576" w14:textId="77777777" w:rsidR="007501E9" w:rsidRDefault="007501E9" w:rsidP="007501E9"/>
    <w:p w14:paraId="49945DBF" w14:textId="201C4141" w:rsidR="007501E9" w:rsidRDefault="007501E9" w:rsidP="007501E9">
      <w:pPr>
        <w:ind w:left="360"/>
      </w:pPr>
      <w:r>
        <w:t>Participation constraints for each effort scenario</w:t>
      </w:r>
    </w:p>
    <w:p w14:paraId="5575B7E2" w14:textId="77777777" w:rsidR="007501E9" w:rsidRDefault="007501E9" w:rsidP="007501E9">
      <w:pPr>
        <w:ind w:left="360"/>
      </w:pPr>
    </w:p>
    <w:tbl>
      <w:tblPr>
        <w:tblStyle w:val="TableGrid"/>
        <w:tblW w:w="6115" w:type="dxa"/>
        <w:tblInd w:w="360" w:type="dxa"/>
        <w:tblLook w:val="04A0" w:firstRow="1" w:lastRow="0" w:firstColumn="1" w:lastColumn="0" w:noHBand="0" w:noVBand="1"/>
      </w:tblPr>
      <w:tblGrid>
        <w:gridCol w:w="1510"/>
        <w:gridCol w:w="2535"/>
        <w:gridCol w:w="2070"/>
      </w:tblGrid>
      <w:tr w:rsidR="007501E9" w14:paraId="3F1A51AF" w14:textId="77777777" w:rsidTr="007501E9">
        <w:tc>
          <w:tcPr>
            <w:tcW w:w="1510" w:type="dxa"/>
          </w:tcPr>
          <w:p w14:paraId="6786A6FB" w14:textId="45CD2A80" w:rsidR="007501E9" w:rsidRDefault="007501E9" w:rsidP="007501E9">
            <w:r>
              <w:t>Low</w:t>
            </w:r>
          </w:p>
        </w:tc>
        <w:tc>
          <w:tcPr>
            <w:tcW w:w="2535" w:type="dxa"/>
          </w:tcPr>
          <w:p w14:paraId="33C0D0F0" w14:textId="5824E4AE" w:rsidR="007501E9" w:rsidRDefault="007501E9" w:rsidP="007501E9">
            <m:oMathPara>
              <m:oMath>
                <m:r>
                  <w:rPr>
                    <w:rFonts w:ascii="Cambria Math" w:hAnsi="Cambria Math"/>
                  </w:rPr>
                  <m:t>Wl-0≥225</m:t>
                </m:r>
              </m:oMath>
            </m:oMathPara>
          </w:p>
        </w:tc>
        <w:tc>
          <w:tcPr>
            <w:tcW w:w="2070" w:type="dxa"/>
          </w:tcPr>
          <w:p w14:paraId="071C544B" w14:textId="152DC990" w:rsidR="007501E9" w:rsidRDefault="007501E9" w:rsidP="007501E9">
            <m:oMathPara>
              <m:oMath>
                <m:r>
                  <w:rPr>
                    <w:rFonts w:ascii="Cambria Math" w:hAnsi="Cambria Math"/>
                  </w:rPr>
                  <m:t>Wl≥225</m:t>
                </m:r>
              </m:oMath>
            </m:oMathPara>
          </w:p>
        </w:tc>
      </w:tr>
      <w:tr w:rsidR="007501E9" w14:paraId="54A11993" w14:textId="77777777" w:rsidTr="007501E9">
        <w:tc>
          <w:tcPr>
            <w:tcW w:w="1510" w:type="dxa"/>
          </w:tcPr>
          <w:p w14:paraId="6FBC7E63" w14:textId="1B347A26" w:rsidR="007501E9" w:rsidRDefault="007501E9" w:rsidP="007501E9">
            <w:r>
              <w:t>High</w:t>
            </w:r>
          </w:p>
        </w:tc>
        <w:tc>
          <w:tcPr>
            <w:tcW w:w="2535" w:type="dxa"/>
          </w:tcPr>
          <w:p w14:paraId="2D4997AC" w14:textId="4EC688B3" w:rsidR="007501E9" w:rsidRDefault="007501E9" w:rsidP="007501E9">
            <m:oMathPara>
              <m:oMath>
                <m:r>
                  <w:rPr>
                    <w:rFonts w:ascii="Cambria Math" w:hAnsi="Cambria Math"/>
                  </w:rPr>
                  <m:t>Wh-25</m:t>
                </m:r>
                <m:r>
                  <w:rPr>
                    <w:rFonts w:ascii="Cambria Math" w:hAnsi="Cambria Math"/>
                  </w:rPr>
                  <m:t>≥225</m:t>
                </m:r>
              </m:oMath>
            </m:oMathPara>
          </w:p>
        </w:tc>
        <w:tc>
          <w:tcPr>
            <w:tcW w:w="2070" w:type="dxa"/>
          </w:tcPr>
          <w:p w14:paraId="7B4C7720" w14:textId="02D05D2B" w:rsidR="007501E9" w:rsidRDefault="007501E9" w:rsidP="007501E9">
            <m:oMathPara>
              <m:oMath>
                <m:r>
                  <w:rPr>
                    <w:rFonts w:ascii="Cambria Math" w:hAnsi="Cambria Math"/>
                  </w:rPr>
                  <m:t>Wh</m:t>
                </m:r>
                <m:r>
                  <w:rPr>
                    <w:rFonts w:ascii="Cambria Math" w:hAnsi="Cambria Math"/>
                  </w:rPr>
                  <m:t>≥2</m:t>
                </m:r>
                <m:r>
                  <w:rPr>
                    <w:rFonts w:ascii="Cambria Math" w:hAnsi="Cambria Math"/>
                  </w:rPr>
                  <m:t>50</m:t>
                </m:r>
              </m:oMath>
            </m:oMathPara>
          </w:p>
        </w:tc>
      </w:tr>
    </w:tbl>
    <w:p w14:paraId="3D195909" w14:textId="7CDA995F" w:rsidR="007501E9" w:rsidRDefault="007501E9" w:rsidP="007501E9">
      <w:pPr>
        <w:ind w:left="360"/>
      </w:pPr>
    </w:p>
    <w:p w14:paraId="1F38C20D" w14:textId="444B1C68" w:rsidR="007501E9" w:rsidRDefault="007501E9" w:rsidP="007501E9">
      <w:pPr>
        <w:ind w:left="360"/>
      </w:pPr>
      <w:r>
        <w:t>Incentive Compatibility Constraints for each effort scenario</w:t>
      </w:r>
    </w:p>
    <w:p w14:paraId="5F791C9A" w14:textId="77777777" w:rsidR="007501E9" w:rsidRDefault="007501E9" w:rsidP="007501E9">
      <w:pPr>
        <w:ind w:left="360"/>
      </w:pPr>
    </w:p>
    <w:tbl>
      <w:tblPr>
        <w:tblStyle w:val="TableGrid"/>
        <w:tblW w:w="2515" w:type="dxa"/>
        <w:tblInd w:w="360" w:type="dxa"/>
        <w:tblLook w:val="04A0" w:firstRow="1" w:lastRow="0" w:firstColumn="1" w:lastColumn="0" w:noHBand="0" w:noVBand="1"/>
      </w:tblPr>
      <w:tblGrid>
        <w:gridCol w:w="696"/>
        <w:gridCol w:w="1819"/>
      </w:tblGrid>
      <w:tr w:rsidR="00036417" w14:paraId="612C2C62" w14:textId="2A705C3A" w:rsidTr="00036417">
        <w:tc>
          <w:tcPr>
            <w:tcW w:w="696" w:type="dxa"/>
          </w:tcPr>
          <w:p w14:paraId="21836E9B" w14:textId="77777777" w:rsidR="00036417" w:rsidRDefault="00036417" w:rsidP="003E4EB8">
            <w:r>
              <w:t>Low</w:t>
            </w:r>
          </w:p>
        </w:tc>
        <w:tc>
          <w:tcPr>
            <w:tcW w:w="1819" w:type="dxa"/>
          </w:tcPr>
          <w:p w14:paraId="4A36F312" w14:textId="6DBF9570" w:rsidR="00036417" w:rsidRDefault="00036417" w:rsidP="007501E9">
            <m:oMathPara>
              <m:oMath>
                <m:r>
                  <w:rPr>
                    <w:rFonts w:ascii="Cambria Math" w:hAnsi="Cambria Math"/>
                  </w:rPr>
                  <m:t>Wl≥</m:t>
                </m:r>
                <m:r>
                  <w:rPr>
                    <w:rFonts w:ascii="Cambria Math" w:hAnsi="Cambria Math"/>
                  </w:rPr>
                  <m:t>Wh-25</m:t>
                </m:r>
              </m:oMath>
            </m:oMathPara>
          </w:p>
        </w:tc>
      </w:tr>
      <w:tr w:rsidR="00036417" w14:paraId="1C3B9642" w14:textId="0B981D5E" w:rsidTr="00036417">
        <w:trPr>
          <w:trHeight w:val="323"/>
        </w:trPr>
        <w:tc>
          <w:tcPr>
            <w:tcW w:w="696" w:type="dxa"/>
          </w:tcPr>
          <w:p w14:paraId="76AF9FE3" w14:textId="77777777" w:rsidR="00036417" w:rsidRDefault="00036417" w:rsidP="003E4EB8">
            <w:r>
              <w:t>High</w:t>
            </w:r>
          </w:p>
        </w:tc>
        <w:tc>
          <w:tcPr>
            <w:tcW w:w="1819" w:type="dxa"/>
          </w:tcPr>
          <w:p w14:paraId="4A95C412" w14:textId="43AE3B31" w:rsidR="00036417" w:rsidRDefault="00036417" w:rsidP="003E4EB8">
            <m:oMathPara>
              <m:oMath>
                <m:r>
                  <w:rPr>
                    <w:rFonts w:ascii="Cambria Math" w:hAnsi="Cambria Math"/>
                  </w:rPr>
                  <m:t>Wh-25≥</m:t>
                </m:r>
                <m:r>
                  <w:rPr>
                    <w:rFonts w:ascii="Cambria Math" w:hAnsi="Cambria Math"/>
                  </w:rPr>
                  <m:t>Wl</m:t>
                </m:r>
              </m:oMath>
            </m:oMathPara>
          </w:p>
        </w:tc>
      </w:tr>
    </w:tbl>
    <w:p w14:paraId="108DA12B" w14:textId="77777777" w:rsidR="007501E9" w:rsidRDefault="007501E9" w:rsidP="007501E9">
      <w:pPr>
        <w:ind w:left="360"/>
      </w:pPr>
    </w:p>
    <w:p w14:paraId="11993632" w14:textId="5E41E899" w:rsidR="00036417" w:rsidRDefault="00036417" w:rsidP="007501E9">
      <w:pPr>
        <w:ind w:left="360"/>
      </w:pPr>
      <w:r>
        <w:t>Solutions</w:t>
      </w:r>
    </w:p>
    <w:tbl>
      <w:tblPr>
        <w:tblStyle w:val="TableGrid"/>
        <w:tblpPr w:leftFromText="180" w:rightFromText="180" w:vertAnchor="text" w:horzAnchor="page" w:tblpX="1810" w:tblpY="191"/>
        <w:tblW w:w="8727" w:type="dxa"/>
        <w:tblLook w:val="04A0" w:firstRow="1" w:lastRow="0" w:firstColumn="1" w:lastColumn="0" w:noHBand="0" w:noVBand="1"/>
      </w:tblPr>
      <w:tblGrid>
        <w:gridCol w:w="933"/>
        <w:gridCol w:w="7794"/>
      </w:tblGrid>
      <w:tr w:rsidR="00036417" w14:paraId="24A76875" w14:textId="79513533" w:rsidTr="00036417">
        <w:tc>
          <w:tcPr>
            <w:tcW w:w="933" w:type="dxa"/>
          </w:tcPr>
          <w:p w14:paraId="182B719A" w14:textId="77777777" w:rsidR="00036417" w:rsidRDefault="00036417" w:rsidP="00036417">
            <w:pPr>
              <w:rPr>
                <w:rFonts w:eastAsia="Calibri"/>
              </w:rPr>
            </w:pPr>
            <w:r>
              <w:rPr>
                <w:rFonts w:eastAsia="Calibri"/>
              </w:rPr>
              <w:t>Low</w:t>
            </w:r>
          </w:p>
        </w:tc>
        <w:tc>
          <w:tcPr>
            <w:tcW w:w="7794" w:type="dxa"/>
          </w:tcPr>
          <w:p w14:paraId="792375FF" w14:textId="6A193AF0" w:rsidR="00036417" w:rsidRDefault="00036417" w:rsidP="00036417">
            <w:pPr>
              <w:rPr>
                <w:rFonts w:eastAsia="Calibri"/>
              </w:rPr>
            </w:pPr>
            <w:r>
              <w:rPr>
                <w:rFonts w:eastAsia="Calibri"/>
              </w:rPr>
              <w:t xml:space="preserve">Flat wage of 225 to satisfy inequality and maximize profit. Wh = Wl = 225 </w:t>
            </w:r>
          </w:p>
        </w:tc>
      </w:tr>
      <w:tr w:rsidR="00036417" w14:paraId="38B3440D" w14:textId="4049122D" w:rsidTr="00036417">
        <w:trPr>
          <w:trHeight w:val="323"/>
        </w:trPr>
        <w:tc>
          <w:tcPr>
            <w:tcW w:w="933" w:type="dxa"/>
          </w:tcPr>
          <w:p w14:paraId="455F119E" w14:textId="77777777" w:rsidR="00036417" w:rsidRDefault="00036417" w:rsidP="00036417">
            <w:pPr>
              <w:rPr>
                <w:rFonts w:eastAsia="Calibri"/>
              </w:rPr>
            </w:pPr>
            <w:r>
              <w:rPr>
                <w:rFonts w:eastAsia="Calibri"/>
              </w:rPr>
              <w:t>High</w:t>
            </w:r>
          </w:p>
        </w:tc>
        <w:tc>
          <w:tcPr>
            <w:tcW w:w="7794" w:type="dxa"/>
          </w:tcPr>
          <w:p w14:paraId="2837F091" w14:textId="64F70B30" w:rsidR="00036417" w:rsidRDefault="00036417" w:rsidP="00036417">
            <w:pPr>
              <w:rPr>
                <w:rFonts w:eastAsia="Calibri"/>
              </w:rPr>
            </w:pPr>
            <w:r>
              <w:rPr>
                <w:rFonts w:eastAsia="Calibri"/>
              </w:rPr>
              <w:t>Wh of 250 and set Wl = 0 to satisfy inequality and maximize profit</w:t>
            </w:r>
          </w:p>
        </w:tc>
      </w:tr>
    </w:tbl>
    <w:p w14:paraId="3DC0DC01" w14:textId="77777777" w:rsidR="00036417" w:rsidRDefault="00036417" w:rsidP="00144263"/>
    <w:p w14:paraId="73D803DE" w14:textId="77777777" w:rsidR="00144263" w:rsidRDefault="00144263" w:rsidP="00144263"/>
    <w:p w14:paraId="00D5C4B2" w14:textId="312121A9" w:rsidR="007501E9" w:rsidRPr="00036417" w:rsidRDefault="007501E9" w:rsidP="007501E9">
      <w:pPr>
        <w:ind w:left="360"/>
        <w:rPr>
          <w:i/>
        </w:rPr>
      </w:pPr>
      <w:r w:rsidRPr="00036417">
        <w:rPr>
          <w:i/>
        </w:rPr>
        <w:t>Profit Results</w:t>
      </w:r>
    </w:p>
    <w:p w14:paraId="65D17FCF" w14:textId="77777777" w:rsidR="007501E9" w:rsidRDefault="007501E9" w:rsidP="007501E9">
      <w:pPr>
        <w:ind w:left="360"/>
      </w:pPr>
    </w:p>
    <w:tbl>
      <w:tblPr>
        <w:tblStyle w:val="TableGrid"/>
        <w:tblW w:w="4045" w:type="dxa"/>
        <w:tblInd w:w="360" w:type="dxa"/>
        <w:tblLook w:val="04A0" w:firstRow="1" w:lastRow="0" w:firstColumn="1" w:lastColumn="0" w:noHBand="0" w:noVBand="1"/>
      </w:tblPr>
      <w:tblGrid>
        <w:gridCol w:w="1510"/>
        <w:gridCol w:w="2535"/>
      </w:tblGrid>
      <w:tr w:rsidR="007501E9" w14:paraId="5BC87AC7" w14:textId="77777777" w:rsidTr="007501E9">
        <w:tc>
          <w:tcPr>
            <w:tcW w:w="1510" w:type="dxa"/>
          </w:tcPr>
          <w:p w14:paraId="46C91696" w14:textId="77777777" w:rsidR="007501E9" w:rsidRDefault="007501E9" w:rsidP="003E4EB8">
            <w:r>
              <w:t>Low</w:t>
            </w:r>
          </w:p>
        </w:tc>
        <w:tc>
          <w:tcPr>
            <w:tcW w:w="2535" w:type="dxa"/>
          </w:tcPr>
          <w:p w14:paraId="2B744B5D" w14:textId="49E92F58" w:rsidR="007501E9" w:rsidRDefault="007501E9" w:rsidP="007501E9">
            <m:oMathPara>
              <m:oMath>
                <m:r>
                  <w:rPr>
                    <w:rFonts w:ascii="Cambria Math" w:hAnsi="Cambria Math"/>
                  </w:rPr>
                  <m:t>180-225= -45</m:t>
                </m:r>
              </m:oMath>
            </m:oMathPara>
          </w:p>
        </w:tc>
      </w:tr>
      <w:tr w:rsidR="007501E9" w14:paraId="38B35442" w14:textId="77777777" w:rsidTr="007501E9">
        <w:trPr>
          <w:trHeight w:val="242"/>
        </w:trPr>
        <w:tc>
          <w:tcPr>
            <w:tcW w:w="1510" w:type="dxa"/>
          </w:tcPr>
          <w:p w14:paraId="351B1C67" w14:textId="77777777" w:rsidR="007501E9" w:rsidRDefault="007501E9" w:rsidP="003E4EB8">
            <w:r>
              <w:t>High</w:t>
            </w:r>
          </w:p>
        </w:tc>
        <w:tc>
          <w:tcPr>
            <w:tcW w:w="2535" w:type="dxa"/>
          </w:tcPr>
          <w:p w14:paraId="6C1D7BC6" w14:textId="56031E66" w:rsidR="007501E9" w:rsidRDefault="007501E9" w:rsidP="007501E9">
            <m:oMathPara>
              <m:oMath>
                <m:r>
                  <w:rPr>
                    <w:rFonts w:ascii="Cambria Math" w:hAnsi="Cambria Math"/>
                  </w:rPr>
                  <m:t>490-250=240</m:t>
                </m:r>
              </m:oMath>
            </m:oMathPara>
          </w:p>
        </w:tc>
      </w:tr>
    </w:tbl>
    <w:p w14:paraId="5F1514BA" w14:textId="77777777" w:rsidR="007501E9" w:rsidRDefault="007501E9" w:rsidP="007501E9">
      <w:pPr>
        <w:ind w:left="360"/>
      </w:pPr>
    </w:p>
    <w:p w14:paraId="7B8B05AB" w14:textId="6CD81ED1" w:rsidR="007501E9" w:rsidRDefault="007501E9" w:rsidP="007501E9">
      <w:pPr>
        <w:ind w:left="360"/>
      </w:pPr>
      <w:r>
        <w:t>Inducing high effort and earning 240 in profit is far more attractive in this case. Thus principal would pay a wage of 250</w:t>
      </w:r>
      <w:r w:rsidR="00D6491D">
        <w:t xml:space="preserve"> to induce high effort and earn a profit of 240.</w:t>
      </w:r>
    </w:p>
    <w:p w14:paraId="72475895" w14:textId="77777777" w:rsidR="00036417" w:rsidRDefault="00036417" w:rsidP="007501E9">
      <w:pPr>
        <w:ind w:left="360"/>
      </w:pPr>
    </w:p>
    <w:p w14:paraId="361E3E52" w14:textId="77777777" w:rsidR="00036417" w:rsidRDefault="00036417" w:rsidP="007501E9">
      <w:pPr>
        <w:ind w:left="360"/>
      </w:pPr>
    </w:p>
    <w:p w14:paraId="364D3612" w14:textId="77777777" w:rsidR="00036417" w:rsidRDefault="00036417" w:rsidP="007501E9">
      <w:pPr>
        <w:ind w:left="360"/>
      </w:pPr>
    </w:p>
    <w:p w14:paraId="4B2015EC" w14:textId="77777777" w:rsidR="00036417" w:rsidRDefault="00036417" w:rsidP="007501E9">
      <w:pPr>
        <w:ind w:left="360"/>
      </w:pPr>
    </w:p>
    <w:p w14:paraId="28F5E038" w14:textId="77777777" w:rsidR="00036417" w:rsidRDefault="00036417" w:rsidP="007501E9">
      <w:pPr>
        <w:ind w:left="360"/>
      </w:pPr>
    </w:p>
    <w:p w14:paraId="7BA783E1" w14:textId="77777777" w:rsidR="00036417" w:rsidRDefault="00036417" w:rsidP="007501E9">
      <w:pPr>
        <w:ind w:left="360"/>
      </w:pPr>
    </w:p>
    <w:p w14:paraId="647B5023" w14:textId="77777777" w:rsidR="00036417" w:rsidRDefault="00036417" w:rsidP="007501E9">
      <w:pPr>
        <w:ind w:left="360"/>
      </w:pPr>
    </w:p>
    <w:p w14:paraId="69BE433A" w14:textId="77777777" w:rsidR="00036417" w:rsidRDefault="00036417" w:rsidP="007501E9">
      <w:pPr>
        <w:ind w:left="360"/>
      </w:pPr>
    </w:p>
    <w:p w14:paraId="40F4E30F" w14:textId="4B8A2C31" w:rsidR="00036417" w:rsidRPr="00036417" w:rsidRDefault="00036417" w:rsidP="00036417">
      <w:pPr>
        <w:pStyle w:val="ListParagraph"/>
        <w:numPr>
          <w:ilvl w:val="0"/>
          <w:numId w:val="41"/>
        </w:numPr>
        <w:rPr>
          <w:b/>
        </w:rPr>
      </w:pPr>
      <w:r>
        <w:rPr>
          <w:b/>
        </w:rPr>
        <w:lastRenderedPageBreak/>
        <w:t>Uno</w:t>
      </w:r>
      <w:r w:rsidRPr="00036417">
        <w:rPr>
          <w:b/>
        </w:rPr>
        <w:t>bservable Case</w:t>
      </w:r>
    </w:p>
    <w:p w14:paraId="4149A2BC" w14:textId="77777777" w:rsidR="00036417" w:rsidRDefault="00036417" w:rsidP="007501E9">
      <w:pPr>
        <w:ind w:left="360"/>
      </w:pPr>
    </w:p>
    <w:p w14:paraId="0500062C" w14:textId="44BC6589" w:rsidR="00036417" w:rsidRDefault="00036417" w:rsidP="00036417">
      <w:pPr>
        <w:ind w:left="360"/>
      </w:pPr>
      <w:r>
        <w:t>Wages are now based on outcomes good, medium and bad.</w:t>
      </w:r>
    </w:p>
    <w:p w14:paraId="6CF96BBF" w14:textId="77777777" w:rsidR="00036417" w:rsidRDefault="00036417" w:rsidP="00036417">
      <w:pPr>
        <w:ind w:left="360"/>
      </w:pPr>
    </w:p>
    <w:p w14:paraId="6D36B941" w14:textId="77777777" w:rsidR="00036417" w:rsidRDefault="00036417" w:rsidP="00036417">
      <w:pPr>
        <w:ind w:left="360"/>
      </w:pPr>
      <w:r>
        <w:t>Participation constraints for each effort scenario</w:t>
      </w:r>
    </w:p>
    <w:p w14:paraId="676DEACC" w14:textId="77777777" w:rsidR="00036417" w:rsidRDefault="00036417" w:rsidP="00036417">
      <w:pPr>
        <w:ind w:left="360"/>
      </w:pPr>
    </w:p>
    <w:tbl>
      <w:tblPr>
        <w:tblStyle w:val="TableGrid"/>
        <w:tblW w:w="9805" w:type="dxa"/>
        <w:tblInd w:w="360" w:type="dxa"/>
        <w:tblLook w:val="04A0" w:firstRow="1" w:lastRow="0" w:firstColumn="1" w:lastColumn="0" w:noHBand="0" w:noVBand="1"/>
      </w:tblPr>
      <w:tblGrid>
        <w:gridCol w:w="1359"/>
        <w:gridCol w:w="4486"/>
        <w:gridCol w:w="3960"/>
      </w:tblGrid>
      <w:tr w:rsidR="00036417" w14:paraId="63355D95" w14:textId="273C427F" w:rsidTr="00036417">
        <w:trPr>
          <w:trHeight w:val="314"/>
        </w:trPr>
        <w:tc>
          <w:tcPr>
            <w:tcW w:w="1359" w:type="dxa"/>
          </w:tcPr>
          <w:p w14:paraId="7ED57B6F" w14:textId="77777777" w:rsidR="00036417" w:rsidRDefault="00036417" w:rsidP="003E4EB8">
            <w:r>
              <w:t>Low</w:t>
            </w:r>
          </w:p>
        </w:tc>
        <w:tc>
          <w:tcPr>
            <w:tcW w:w="4486" w:type="dxa"/>
          </w:tcPr>
          <w:p w14:paraId="5EED3DAB" w14:textId="167E92B0" w:rsidR="00036417" w:rsidRDefault="00036417" w:rsidP="00036417">
            <m:oMathPara>
              <m:oMath>
                <m:r>
                  <w:rPr>
                    <w:rFonts w:ascii="Cambria Math" w:hAnsi="Cambria Math"/>
                  </w:rPr>
                  <m:t>0.20wg+0.30wm+0.50wb-0≥225</m:t>
                </m:r>
              </m:oMath>
            </m:oMathPara>
          </w:p>
        </w:tc>
        <w:tc>
          <w:tcPr>
            <w:tcW w:w="3960" w:type="dxa"/>
          </w:tcPr>
          <w:p w14:paraId="4DCFB7B6" w14:textId="4076DC27" w:rsidR="00036417" w:rsidRDefault="00036417" w:rsidP="00036417">
            <w:pPr>
              <w:rPr>
                <w:rFonts w:eastAsia="Calibri"/>
              </w:rPr>
            </w:pPr>
            <m:oMathPara>
              <m:oMath>
                <m:r>
                  <w:rPr>
                    <w:rFonts w:ascii="Cambria Math" w:hAnsi="Cambria Math"/>
                  </w:rPr>
                  <m:t>0.20wg+0.30wm+0.50w</m:t>
                </m:r>
                <m:r>
                  <w:rPr>
                    <w:rFonts w:ascii="Cambria Math" w:hAnsi="Cambria Math"/>
                  </w:rPr>
                  <m:t>b</m:t>
                </m:r>
                <m:r>
                  <w:rPr>
                    <w:rFonts w:ascii="Cambria Math" w:hAnsi="Cambria Math"/>
                  </w:rPr>
                  <m:t>≥225</m:t>
                </m:r>
              </m:oMath>
            </m:oMathPara>
          </w:p>
        </w:tc>
      </w:tr>
      <w:tr w:rsidR="00036417" w14:paraId="5AB24B4F" w14:textId="34C79616" w:rsidTr="00036417">
        <w:tc>
          <w:tcPr>
            <w:tcW w:w="1359" w:type="dxa"/>
          </w:tcPr>
          <w:p w14:paraId="1154194A" w14:textId="77777777" w:rsidR="00036417" w:rsidRDefault="00036417" w:rsidP="003E4EB8">
            <w:r>
              <w:t>High</w:t>
            </w:r>
          </w:p>
        </w:tc>
        <w:tc>
          <w:tcPr>
            <w:tcW w:w="4486" w:type="dxa"/>
          </w:tcPr>
          <w:p w14:paraId="625ADE88" w14:textId="1AA58A26" w:rsidR="00036417" w:rsidRDefault="00036417" w:rsidP="00036417">
            <m:oMathPara>
              <m:oMath>
                <m:r>
                  <w:rPr>
                    <w:rFonts w:ascii="Cambria Math" w:hAnsi="Cambria Math"/>
                  </w:rPr>
                  <m:t>0.75wg+0.20wm+0.05wb-25≥225</m:t>
                </m:r>
              </m:oMath>
            </m:oMathPara>
          </w:p>
        </w:tc>
        <w:tc>
          <w:tcPr>
            <w:tcW w:w="3960" w:type="dxa"/>
          </w:tcPr>
          <w:p w14:paraId="67D5A314" w14:textId="2AE896DA" w:rsidR="00036417" w:rsidRDefault="00036417" w:rsidP="00036417">
            <w:pPr>
              <w:rPr>
                <w:rFonts w:ascii="Calibri" w:eastAsia="Calibri" w:hAnsi="Calibri"/>
              </w:rPr>
            </w:pPr>
            <m:oMathPara>
              <m:oMath>
                <m:r>
                  <w:rPr>
                    <w:rFonts w:ascii="Cambria Math" w:hAnsi="Cambria Math"/>
                  </w:rPr>
                  <m:t>0.75wg+0.20wm+0.05wb≥250</m:t>
                </m:r>
              </m:oMath>
            </m:oMathPara>
          </w:p>
        </w:tc>
      </w:tr>
    </w:tbl>
    <w:p w14:paraId="0ECE2FAB" w14:textId="77777777" w:rsidR="00036417" w:rsidRDefault="00036417" w:rsidP="007501E9">
      <w:pPr>
        <w:ind w:left="360"/>
      </w:pPr>
    </w:p>
    <w:p w14:paraId="1D640850" w14:textId="77777777" w:rsidR="00036417" w:rsidRDefault="00036417" w:rsidP="00036417"/>
    <w:p w14:paraId="506C9674" w14:textId="77777777" w:rsidR="00036417" w:rsidRDefault="00036417" w:rsidP="00036417">
      <w:pPr>
        <w:ind w:left="360"/>
      </w:pPr>
      <w:r>
        <w:t>Incentive Compatibility Constraints for each effort scenario</w:t>
      </w:r>
    </w:p>
    <w:p w14:paraId="70D4BF5F" w14:textId="77777777" w:rsidR="00036417" w:rsidRDefault="00036417" w:rsidP="00036417">
      <w:pPr>
        <w:ind w:left="360"/>
      </w:pPr>
    </w:p>
    <w:tbl>
      <w:tblPr>
        <w:tblStyle w:val="TableGrid"/>
        <w:tblW w:w="9355" w:type="dxa"/>
        <w:tblInd w:w="360" w:type="dxa"/>
        <w:tblLook w:val="04A0" w:firstRow="1" w:lastRow="0" w:firstColumn="1" w:lastColumn="0" w:noHBand="0" w:noVBand="1"/>
      </w:tblPr>
      <w:tblGrid>
        <w:gridCol w:w="696"/>
        <w:gridCol w:w="8659"/>
      </w:tblGrid>
      <w:tr w:rsidR="00036417" w14:paraId="537D87F7" w14:textId="77777777" w:rsidTr="00036417">
        <w:tc>
          <w:tcPr>
            <w:tcW w:w="696" w:type="dxa"/>
          </w:tcPr>
          <w:p w14:paraId="2CBE9A8C" w14:textId="77777777" w:rsidR="00036417" w:rsidRDefault="00036417" w:rsidP="003E4EB8">
            <w:r>
              <w:t>Low</w:t>
            </w:r>
          </w:p>
        </w:tc>
        <w:tc>
          <w:tcPr>
            <w:tcW w:w="8659" w:type="dxa"/>
          </w:tcPr>
          <w:p w14:paraId="273BAA3A" w14:textId="4A6C4257" w:rsidR="00036417" w:rsidRDefault="00036417" w:rsidP="003E4EB8">
            <m:oMathPara>
              <m:oMath>
                <m:r>
                  <w:rPr>
                    <w:rFonts w:ascii="Cambria Math" w:hAnsi="Cambria Math"/>
                  </w:rPr>
                  <m:t>0.20wg+0.30wm+0.50wb-0≥0.75wg+0.20wm+0.05wb-25</m:t>
                </m:r>
              </m:oMath>
            </m:oMathPara>
          </w:p>
        </w:tc>
      </w:tr>
      <w:tr w:rsidR="00036417" w14:paraId="3E4CA508" w14:textId="77777777" w:rsidTr="00036417">
        <w:trPr>
          <w:trHeight w:val="323"/>
        </w:trPr>
        <w:tc>
          <w:tcPr>
            <w:tcW w:w="696" w:type="dxa"/>
          </w:tcPr>
          <w:p w14:paraId="11D5E80C" w14:textId="77777777" w:rsidR="00036417" w:rsidRDefault="00036417" w:rsidP="003E4EB8">
            <w:r>
              <w:t>High</w:t>
            </w:r>
          </w:p>
        </w:tc>
        <w:tc>
          <w:tcPr>
            <w:tcW w:w="8659" w:type="dxa"/>
          </w:tcPr>
          <w:p w14:paraId="5633DB9D" w14:textId="50A43129" w:rsidR="00036417" w:rsidRDefault="00036417" w:rsidP="00036417">
            <m:oMathPara>
              <m:oMath>
                <m:r>
                  <w:rPr>
                    <w:rFonts w:ascii="Cambria Math" w:hAnsi="Cambria Math"/>
                  </w:rPr>
                  <m:t>0.75wg+0.20wm+0.05wb-25</m:t>
                </m:r>
                <m:r>
                  <w:rPr>
                    <w:rFonts w:ascii="Cambria Math" w:hAnsi="Cambria Math"/>
                  </w:rPr>
                  <m:t xml:space="preserve">≥ </m:t>
                </m:r>
                <m:r>
                  <w:rPr>
                    <w:rFonts w:ascii="Cambria Math" w:hAnsi="Cambria Math"/>
                  </w:rPr>
                  <m:t>0.20wg+0.30wm+0.50wb-0≥225</m:t>
                </m:r>
              </m:oMath>
            </m:oMathPara>
          </w:p>
        </w:tc>
      </w:tr>
    </w:tbl>
    <w:p w14:paraId="44176438" w14:textId="77777777" w:rsidR="00036417" w:rsidRDefault="00036417" w:rsidP="007501E9">
      <w:pPr>
        <w:ind w:left="360"/>
      </w:pPr>
    </w:p>
    <w:p w14:paraId="1C0D9587" w14:textId="478F5C7B" w:rsidR="00036417" w:rsidRDefault="00036417" w:rsidP="007501E9">
      <w:pPr>
        <w:ind w:left="360"/>
      </w:pPr>
      <w:r>
        <w:t>Solutions</w:t>
      </w:r>
    </w:p>
    <w:tbl>
      <w:tblPr>
        <w:tblStyle w:val="TableGrid"/>
        <w:tblpPr w:leftFromText="180" w:rightFromText="180" w:vertAnchor="text" w:horzAnchor="page" w:tblpX="1810" w:tblpY="191"/>
        <w:tblW w:w="8727" w:type="dxa"/>
        <w:tblLook w:val="04A0" w:firstRow="1" w:lastRow="0" w:firstColumn="1" w:lastColumn="0" w:noHBand="0" w:noVBand="1"/>
      </w:tblPr>
      <w:tblGrid>
        <w:gridCol w:w="933"/>
        <w:gridCol w:w="7794"/>
      </w:tblGrid>
      <w:tr w:rsidR="00036417" w14:paraId="145C1283" w14:textId="77777777" w:rsidTr="003E4EB8">
        <w:tc>
          <w:tcPr>
            <w:tcW w:w="933" w:type="dxa"/>
          </w:tcPr>
          <w:p w14:paraId="1696DF22" w14:textId="77777777" w:rsidR="00036417" w:rsidRDefault="00036417" w:rsidP="003E4EB8">
            <w:pPr>
              <w:rPr>
                <w:rFonts w:eastAsia="Calibri"/>
              </w:rPr>
            </w:pPr>
            <w:r>
              <w:rPr>
                <w:rFonts w:eastAsia="Calibri"/>
              </w:rPr>
              <w:t>Low</w:t>
            </w:r>
          </w:p>
        </w:tc>
        <w:tc>
          <w:tcPr>
            <w:tcW w:w="7794" w:type="dxa"/>
          </w:tcPr>
          <w:p w14:paraId="34FACB75" w14:textId="77777777" w:rsidR="00036417" w:rsidRDefault="00036417" w:rsidP="003E4EB8">
            <w:pPr>
              <w:rPr>
                <w:rFonts w:eastAsia="Calibri"/>
              </w:rPr>
            </w:pPr>
            <w:r>
              <w:rPr>
                <w:rFonts w:eastAsia="Calibri"/>
              </w:rPr>
              <w:t xml:space="preserve">Flat wage of 225 to satisfy inequality and maximize profit. Wh = Wl = 225 </w:t>
            </w:r>
          </w:p>
        </w:tc>
      </w:tr>
      <w:tr w:rsidR="00036417" w14:paraId="44889A2C" w14:textId="77777777" w:rsidTr="003E4EB8">
        <w:trPr>
          <w:trHeight w:val="323"/>
        </w:trPr>
        <w:tc>
          <w:tcPr>
            <w:tcW w:w="933" w:type="dxa"/>
          </w:tcPr>
          <w:p w14:paraId="2B3ED840" w14:textId="77777777" w:rsidR="00036417" w:rsidRDefault="00036417" w:rsidP="003E4EB8">
            <w:pPr>
              <w:rPr>
                <w:rFonts w:eastAsia="Calibri"/>
              </w:rPr>
            </w:pPr>
            <w:r>
              <w:rPr>
                <w:rFonts w:eastAsia="Calibri"/>
              </w:rPr>
              <w:t>High</w:t>
            </w:r>
          </w:p>
        </w:tc>
        <w:tc>
          <w:tcPr>
            <w:tcW w:w="7794" w:type="dxa"/>
          </w:tcPr>
          <w:p w14:paraId="24FACC9E" w14:textId="77777777" w:rsidR="00036417" w:rsidRDefault="00036417" w:rsidP="003E4EB8">
            <w:pPr>
              <w:rPr>
                <w:rFonts w:eastAsia="Calibri"/>
              </w:rPr>
            </w:pPr>
            <w:r>
              <w:rPr>
                <w:rFonts w:eastAsia="Calibri"/>
              </w:rPr>
              <w:t>Wh of 250 and set Wl = 0 to satisfy inequality and maximize profit</w:t>
            </w:r>
          </w:p>
        </w:tc>
      </w:tr>
    </w:tbl>
    <w:p w14:paraId="502E2D90" w14:textId="3C9693C2" w:rsidR="00036417" w:rsidRDefault="00036417" w:rsidP="007501E9">
      <w:pPr>
        <w:ind w:left="360"/>
      </w:pPr>
    </w:p>
    <w:p w14:paraId="77AF50B1" w14:textId="69CE4A5F" w:rsidR="00E55201" w:rsidRDefault="00E55201" w:rsidP="007501E9">
      <w:pPr>
        <w:ind w:left="360"/>
      </w:pPr>
      <w:r>
        <w:t xml:space="preserve">To induce high effort, we use the results from our observable case above in the form for wages of </w:t>
      </w:r>
    </w:p>
    <w:p w14:paraId="1BB780A0" w14:textId="77777777" w:rsidR="00E55201" w:rsidRDefault="00E55201" w:rsidP="007501E9">
      <w:pPr>
        <w:ind w:left="360"/>
      </w:pPr>
    </w:p>
    <w:p w14:paraId="29A952DA" w14:textId="4119575B" w:rsidR="00036417" w:rsidRPr="00144263" w:rsidRDefault="00E55201" w:rsidP="00144263">
      <w:pPr>
        <w:ind w:left="360"/>
      </w:pPr>
      <w:r>
        <w:tab/>
      </w:r>
      <w:r>
        <w:tab/>
      </w:r>
      <w:r>
        <w:tab/>
      </w:r>
      <w:r>
        <w:tab/>
      </w:r>
      <w:r>
        <w:tab/>
      </w:r>
      <w:r>
        <w:tab/>
      </w:r>
      <m:oMath>
        <m:r>
          <w:rPr>
            <w:rFonts w:ascii="Cambria Math" w:hAnsi="Cambria Math"/>
          </w:rPr>
          <m:t>wi=ri-f</m:t>
        </m:r>
      </m:oMath>
    </w:p>
    <w:p w14:paraId="482E326D" w14:textId="36E19086" w:rsidR="00E55201" w:rsidRDefault="00E55201" w:rsidP="007501E9">
      <w:pPr>
        <w:ind w:left="360"/>
      </w:pPr>
      <w:r>
        <w:t>Where wages (wi) are based on the revenue for a given outcome minus the profit for the effort level in the observable case.</w:t>
      </w:r>
    </w:p>
    <w:p w14:paraId="614533D0" w14:textId="77777777" w:rsidR="00E55201" w:rsidRDefault="00E55201" w:rsidP="007501E9">
      <w:pPr>
        <w:ind w:left="360"/>
      </w:pPr>
    </w:p>
    <w:p w14:paraId="067235FB" w14:textId="0B3A5F72" w:rsidR="00E55201" w:rsidRDefault="00E55201" w:rsidP="007501E9">
      <w:pPr>
        <w:ind w:left="360"/>
      </w:pPr>
      <w:r>
        <w:t>Wg = 600 – 240 = 360</w:t>
      </w:r>
    </w:p>
    <w:p w14:paraId="4894B040" w14:textId="56A337A1" w:rsidR="00E55201" w:rsidRDefault="00E55201" w:rsidP="007501E9">
      <w:pPr>
        <w:ind w:left="360"/>
      </w:pPr>
      <w:r>
        <w:t>Wm = 200 – 240 = -40</w:t>
      </w:r>
    </w:p>
    <w:p w14:paraId="0C9B515C" w14:textId="613FA9F7" w:rsidR="00E55201" w:rsidRPr="00E55201" w:rsidRDefault="00E55201" w:rsidP="007501E9">
      <w:pPr>
        <w:ind w:left="360"/>
      </w:pPr>
      <w:r>
        <w:t>Wb = 0 – 240 = -240</w:t>
      </w:r>
    </w:p>
    <w:p w14:paraId="2F516966" w14:textId="77777777" w:rsidR="00E55201" w:rsidRDefault="00E55201" w:rsidP="007501E9">
      <w:pPr>
        <w:ind w:left="360"/>
        <w:rPr>
          <w:i/>
        </w:rPr>
      </w:pPr>
    </w:p>
    <w:p w14:paraId="4E9A07AF" w14:textId="6DE48709" w:rsidR="00E55201" w:rsidRPr="00E55201" w:rsidRDefault="00E55201" w:rsidP="007501E9">
      <w:pPr>
        <w:ind w:left="360"/>
      </w:pPr>
      <w:r>
        <w:t>E(w) = 250</w:t>
      </w:r>
    </w:p>
    <w:p w14:paraId="0625A982" w14:textId="77777777" w:rsidR="00E55201" w:rsidRDefault="00E55201" w:rsidP="007501E9">
      <w:pPr>
        <w:ind w:left="360"/>
        <w:rPr>
          <w:i/>
        </w:rPr>
      </w:pPr>
    </w:p>
    <w:p w14:paraId="61DBB3FF" w14:textId="44952B42" w:rsidR="00036417" w:rsidRDefault="00036417" w:rsidP="007501E9">
      <w:pPr>
        <w:ind w:left="360"/>
        <w:rPr>
          <w:i/>
        </w:rPr>
      </w:pPr>
      <w:r w:rsidRPr="00036417">
        <w:rPr>
          <w:i/>
        </w:rPr>
        <w:t>Profit Results</w:t>
      </w:r>
    </w:p>
    <w:p w14:paraId="473948CA" w14:textId="77777777" w:rsidR="00907BFF" w:rsidRDefault="00907BFF" w:rsidP="00D914E5">
      <w:pPr>
        <w:rPr>
          <w:i/>
        </w:rPr>
      </w:pPr>
    </w:p>
    <w:tbl>
      <w:tblPr>
        <w:tblStyle w:val="TableGrid"/>
        <w:tblW w:w="4045" w:type="dxa"/>
        <w:tblInd w:w="360" w:type="dxa"/>
        <w:tblLook w:val="04A0" w:firstRow="1" w:lastRow="0" w:firstColumn="1" w:lastColumn="0" w:noHBand="0" w:noVBand="1"/>
      </w:tblPr>
      <w:tblGrid>
        <w:gridCol w:w="1510"/>
        <w:gridCol w:w="2535"/>
      </w:tblGrid>
      <w:tr w:rsidR="00907BFF" w14:paraId="5BA4BB24" w14:textId="77777777" w:rsidTr="003E4EB8">
        <w:tc>
          <w:tcPr>
            <w:tcW w:w="1510" w:type="dxa"/>
          </w:tcPr>
          <w:p w14:paraId="4DC8EF66" w14:textId="77777777" w:rsidR="00907BFF" w:rsidRDefault="00907BFF" w:rsidP="003E4EB8">
            <w:r>
              <w:t>Low</w:t>
            </w:r>
          </w:p>
        </w:tc>
        <w:tc>
          <w:tcPr>
            <w:tcW w:w="2535" w:type="dxa"/>
          </w:tcPr>
          <w:p w14:paraId="3094E868" w14:textId="77777777" w:rsidR="00907BFF" w:rsidRDefault="00907BFF" w:rsidP="003E4EB8">
            <m:oMathPara>
              <m:oMath>
                <m:r>
                  <w:rPr>
                    <w:rFonts w:ascii="Cambria Math" w:hAnsi="Cambria Math"/>
                  </w:rPr>
                  <m:t>180-225= -45</m:t>
                </m:r>
              </m:oMath>
            </m:oMathPara>
          </w:p>
        </w:tc>
      </w:tr>
      <w:tr w:rsidR="00907BFF" w14:paraId="36E8C33D" w14:textId="77777777" w:rsidTr="003E4EB8">
        <w:trPr>
          <w:trHeight w:val="242"/>
        </w:trPr>
        <w:tc>
          <w:tcPr>
            <w:tcW w:w="1510" w:type="dxa"/>
          </w:tcPr>
          <w:p w14:paraId="59AC3A5B" w14:textId="77777777" w:rsidR="00907BFF" w:rsidRDefault="00907BFF" w:rsidP="003E4EB8">
            <w:r>
              <w:t>High</w:t>
            </w:r>
          </w:p>
        </w:tc>
        <w:tc>
          <w:tcPr>
            <w:tcW w:w="2535" w:type="dxa"/>
          </w:tcPr>
          <w:p w14:paraId="3F478C93" w14:textId="77777777" w:rsidR="00907BFF" w:rsidRDefault="00907BFF" w:rsidP="003E4EB8">
            <m:oMathPara>
              <m:oMath>
                <m:r>
                  <w:rPr>
                    <w:rFonts w:ascii="Cambria Math" w:hAnsi="Cambria Math"/>
                  </w:rPr>
                  <m:t>490-250=240</m:t>
                </m:r>
              </m:oMath>
            </m:oMathPara>
          </w:p>
        </w:tc>
      </w:tr>
    </w:tbl>
    <w:p w14:paraId="7BAA4293" w14:textId="77777777" w:rsidR="00907BFF" w:rsidRDefault="00907BFF" w:rsidP="007501E9">
      <w:pPr>
        <w:ind w:left="360"/>
      </w:pPr>
    </w:p>
    <w:p w14:paraId="56F2C971" w14:textId="77777777" w:rsidR="00D914E5" w:rsidRDefault="00D914E5" w:rsidP="007501E9">
      <w:pPr>
        <w:ind w:left="360"/>
      </w:pPr>
    </w:p>
    <w:p w14:paraId="3B26D7DB" w14:textId="3CCA74D3" w:rsidR="00D914E5" w:rsidRDefault="00D914E5" w:rsidP="007501E9">
      <w:pPr>
        <w:ind w:left="360"/>
      </w:pPr>
      <w:r>
        <w:t>Thus, the principal still wants to induce high effort. They would offer compensation based wages of 360, -40, -240 to the risk neutral agent and earn a profit of 240.</w:t>
      </w:r>
      <w:r w:rsidR="00CC2FFD">
        <w:t xml:space="preserve"> This is expected from proposition 1 of principal agent theory.</w:t>
      </w:r>
    </w:p>
    <w:p w14:paraId="555F1C38" w14:textId="77777777" w:rsidR="00CC2FFD" w:rsidRDefault="00CC2FFD" w:rsidP="007501E9">
      <w:pPr>
        <w:ind w:left="360"/>
      </w:pPr>
    </w:p>
    <w:p w14:paraId="2E63A7C5" w14:textId="01B965A4" w:rsidR="008111CD" w:rsidRDefault="008111CD" w:rsidP="00144263">
      <w:pPr>
        <w:pStyle w:val="ListParagraph"/>
        <w:numPr>
          <w:ilvl w:val="0"/>
          <w:numId w:val="41"/>
        </w:numPr>
      </w:pPr>
      <w:r>
        <w:t>S should not pay anything, principal makes same profit in both observation cases.</w:t>
      </w:r>
      <w:r w:rsidR="00144263">
        <w:t xml:space="preserve"> If risk neutrality profile was different, principal may pay to monitor agent in this case, but since risk neutral, won’t pay anything.</w:t>
      </w:r>
    </w:p>
    <w:p w14:paraId="555FD53A" w14:textId="25522636" w:rsidR="008111CD" w:rsidRDefault="008111CD" w:rsidP="008111CD">
      <w:pPr>
        <w:pStyle w:val="ListParagraph"/>
        <w:numPr>
          <w:ilvl w:val="0"/>
          <w:numId w:val="40"/>
        </w:numPr>
        <w:rPr>
          <w:b/>
        </w:rPr>
      </w:pPr>
      <w:r w:rsidRPr="008111CD">
        <w:rPr>
          <w:b/>
        </w:rPr>
        <w:t xml:space="preserve">Principal </w:t>
      </w:r>
      <w:r>
        <w:rPr>
          <w:b/>
        </w:rPr>
        <w:t>– Agent Games</w:t>
      </w:r>
    </w:p>
    <w:p w14:paraId="6D77BB1D" w14:textId="77777777" w:rsidR="008111CD" w:rsidRDefault="008111CD" w:rsidP="008111CD">
      <w:pPr>
        <w:rPr>
          <w:b/>
        </w:rPr>
      </w:pPr>
    </w:p>
    <w:p w14:paraId="09C3D61D" w14:textId="48F98B02" w:rsidR="008111CD" w:rsidRDefault="008111CD" w:rsidP="008111CD">
      <w:pPr>
        <w:ind w:left="360"/>
      </w:pPr>
      <w:r>
        <w:t>Unobservable scenario with a risk averse agent and risk neutral principal.</w:t>
      </w:r>
    </w:p>
    <w:p w14:paraId="14B042A6" w14:textId="77777777" w:rsidR="008111CD" w:rsidRDefault="008111CD" w:rsidP="008111CD">
      <w:pPr>
        <w:ind w:left="360"/>
      </w:pPr>
    </w:p>
    <w:p w14:paraId="2856A81D" w14:textId="46ECE388" w:rsidR="008111CD" w:rsidRPr="008111CD" w:rsidRDefault="008111CD" w:rsidP="008111CD">
      <w:pPr>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x,e</m:t>
              </m:r>
            </m:e>
          </m:d>
          <m:r>
            <w:rPr>
              <w:rFonts w:ascii="Cambria Math" w:hAnsi="Cambria Math"/>
            </w:rPr>
            <m:t>=</m:t>
          </m:r>
          <m:sSup>
            <m:sSupPr>
              <m:ctrlPr>
                <w:rPr>
                  <w:rFonts w:ascii="Cambria Math" w:hAnsi="Cambria Math"/>
                  <w:i/>
                </w:rPr>
              </m:ctrlPr>
            </m:sSupPr>
            <m:e>
              <m:r>
                <w:rPr>
                  <w:rFonts w:ascii="Cambria Math" w:hAnsi="Cambria Math"/>
                </w:rPr>
                <m:t>(x-e)</m:t>
              </m:r>
            </m:e>
            <m:sup>
              <m:r>
                <w:rPr>
                  <w:rFonts w:ascii="Cambria Math" w:hAnsi="Cambria Math"/>
                </w:rPr>
                <m:t>a</m:t>
              </m:r>
            </m:sup>
          </m:sSup>
        </m:oMath>
      </m:oMathPara>
    </w:p>
    <w:p w14:paraId="3F3B107A" w14:textId="57F3F42E" w:rsidR="008111CD" w:rsidRPr="008111CD" w:rsidRDefault="008111CD" w:rsidP="008111CD">
      <w:pPr>
        <w:ind w:left="360"/>
      </w:pPr>
      <m:oMathPara>
        <m:oMath>
          <m:r>
            <w:rPr>
              <w:rFonts w:ascii="Cambria Math" w:hAnsi="Cambria Math"/>
            </w:rPr>
            <m:t>c</m:t>
          </m:r>
          <m:d>
            <m:dPr>
              <m:ctrlPr>
                <w:rPr>
                  <w:rFonts w:ascii="Cambria Math" w:hAnsi="Cambria Math"/>
                  <w:i/>
                </w:rPr>
              </m:ctrlPr>
            </m:dPr>
            <m:e>
              <m:r>
                <w:rPr>
                  <w:rFonts w:ascii="Cambria Math" w:hAnsi="Cambria Math"/>
                </w:rPr>
                <m:t>Eh</m:t>
              </m:r>
            </m:e>
          </m:d>
          <m:r>
            <w:rPr>
              <w:rFonts w:ascii="Cambria Math" w:hAnsi="Cambria Math"/>
            </w:rPr>
            <m:t>= 1</m:t>
          </m:r>
        </m:oMath>
      </m:oMathPara>
    </w:p>
    <w:p w14:paraId="6DEA023C" w14:textId="2C4B1CC9" w:rsidR="008111CD" w:rsidRDefault="008111CD" w:rsidP="008111CD">
      <w:pPr>
        <w:ind w:left="360"/>
        <w:rPr>
          <w:rFonts w:eastAsiaTheme="minorEastAsia"/>
        </w:rPr>
      </w:pPr>
      <w:r>
        <w:tab/>
      </w:r>
      <w:r>
        <w:tab/>
      </w:r>
      <w:r>
        <w:tab/>
      </w:r>
      <w:r>
        <w:tab/>
      </w:r>
      <w:r>
        <w:tab/>
      </w:r>
      <w:r>
        <w:tab/>
      </w:r>
      <m:oMath>
        <m:r>
          <w:rPr>
            <w:rFonts w:ascii="Cambria Math" w:hAnsi="Cambria Math"/>
          </w:rPr>
          <m:t>c</m:t>
        </m:r>
        <m:d>
          <m:dPr>
            <m:ctrlPr>
              <w:rPr>
                <w:rFonts w:ascii="Cambria Math" w:hAnsi="Cambria Math"/>
                <w:i/>
              </w:rPr>
            </m:ctrlPr>
          </m:dPr>
          <m:e>
            <m:r>
              <w:rPr>
                <w:rFonts w:ascii="Cambria Math" w:hAnsi="Cambria Math"/>
              </w:rPr>
              <m:t>E</m:t>
            </m:r>
            <m:r>
              <w:rPr>
                <w:rFonts w:ascii="Cambria Math" w:hAnsi="Cambria Math"/>
              </w:rPr>
              <m:t>l</m:t>
            </m:r>
          </m:e>
        </m:d>
        <m:r>
          <w:rPr>
            <w:rFonts w:ascii="Cambria Math" w:hAnsi="Cambria Math"/>
          </w:rPr>
          <m:t xml:space="preserve">= </m:t>
        </m:r>
        <m:r>
          <w:rPr>
            <w:rFonts w:ascii="Cambria Math" w:hAnsi="Cambria Math"/>
          </w:rPr>
          <m:t>0</m:t>
        </m:r>
      </m:oMath>
    </w:p>
    <w:p w14:paraId="748D53A6" w14:textId="673BBE12" w:rsidR="008111CD" w:rsidRPr="008111CD" w:rsidRDefault="008111CD" w:rsidP="008111CD">
      <w:pPr>
        <w:ind w:left="360"/>
      </w:pPr>
      <m:oMathPara>
        <m:oMath>
          <m:r>
            <w:rPr>
              <w:rFonts w:ascii="Cambria Math" w:hAnsi="Cambria Math"/>
            </w:rPr>
            <m:t>u=1</m:t>
          </m:r>
        </m:oMath>
      </m:oMathPara>
    </w:p>
    <w:p w14:paraId="589C058A" w14:textId="77777777" w:rsidR="008111CD" w:rsidRPr="008111CD" w:rsidRDefault="008111CD" w:rsidP="008111CD"/>
    <w:p w14:paraId="5A856851" w14:textId="77777777" w:rsidR="008111CD" w:rsidRPr="008111CD" w:rsidRDefault="008111CD" w:rsidP="00144263"/>
    <w:tbl>
      <w:tblPr>
        <w:tblStyle w:val="TableGrid"/>
        <w:tblW w:w="0" w:type="auto"/>
        <w:tblInd w:w="724" w:type="dxa"/>
        <w:tblLook w:val="04A0" w:firstRow="1" w:lastRow="0" w:firstColumn="1" w:lastColumn="0" w:noHBand="0" w:noVBand="1"/>
      </w:tblPr>
      <w:tblGrid>
        <w:gridCol w:w="705"/>
        <w:gridCol w:w="1870"/>
        <w:gridCol w:w="1870"/>
        <w:gridCol w:w="1870"/>
      </w:tblGrid>
      <w:tr w:rsidR="008111CD" w14:paraId="7D2C6714" w14:textId="77777777" w:rsidTr="008111CD">
        <w:tc>
          <w:tcPr>
            <w:tcW w:w="705" w:type="dxa"/>
          </w:tcPr>
          <w:p w14:paraId="184D40EE" w14:textId="77777777" w:rsidR="008111CD" w:rsidRDefault="008111CD" w:rsidP="00A03C61">
            <w:pPr>
              <w:jc w:val="center"/>
            </w:pPr>
          </w:p>
        </w:tc>
        <w:tc>
          <w:tcPr>
            <w:tcW w:w="1870" w:type="dxa"/>
          </w:tcPr>
          <w:p w14:paraId="66C0B011" w14:textId="7653F293" w:rsidR="008111CD" w:rsidRDefault="008111CD" w:rsidP="00A03C61">
            <w:pPr>
              <w:jc w:val="center"/>
            </w:pPr>
            <w:r>
              <w:t>6</w:t>
            </w:r>
            <w:r>
              <w:t xml:space="preserve"> (</w:t>
            </w:r>
            <w:r w:rsidR="00A03C61">
              <w:t>success)</w:t>
            </w:r>
          </w:p>
        </w:tc>
        <w:tc>
          <w:tcPr>
            <w:tcW w:w="1870" w:type="dxa"/>
          </w:tcPr>
          <w:p w14:paraId="092F7291" w14:textId="1AA2ABD0" w:rsidR="008111CD" w:rsidRDefault="008111CD" w:rsidP="00A03C61">
            <w:pPr>
              <w:jc w:val="center"/>
            </w:pPr>
            <w:r>
              <w:t>2</w:t>
            </w:r>
            <w:r w:rsidR="00A03C61">
              <w:t xml:space="preserve"> (fail</w:t>
            </w:r>
            <w:r>
              <w:t>)</w:t>
            </w:r>
          </w:p>
        </w:tc>
        <w:tc>
          <w:tcPr>
            <w:tcW w:w="1870" w:type="dxa"/>
          </w:tcPr>
          <w:p w14:paraId="7C4AD7D9" w14:textId="6DEAC7B1" w:rsidR="008111CD" w:rsidRDefault="008111CD" w:rsidP="00A03C61">
            <w:pPr>
              <w:jc w:val="center"/>
            </w:pPr>
            <w:r>
              <w:t>E(Revenue)</w:t>
            </w:r>
          </w:p>
        </w:tc>
      </w:tr>
      <w:tr w:rsidR="008111CD" w14:paraId="400434CF" w14:textId="77777777" w:rsidTr="008111CD">
        <w:tc>
          <w:tcPr>
            <w:tcW w:w="705" w:type="dxa"/>
          </w:tcPr>
          <w:p w14:paraId="2B7B6B4B" w14:textId="77777777" w:rsidR="008111CD" w:rsidRDefault="008111CD" w:rsidP="00A03C61">
            <w:pPr>
              <w:jc w:val="center"/>
            </w:pPr>
            <w:r>
              <w:t>Eh</w:t>
            </w:r>
          </w:p>
        </w:tc>
        <w:tc>
          <w:tcPr>
            <w:tcW w:w="1870" w:type="dxa"/>
          </w:tcPr>
          <w:p w14:paraId="38CFEDFE" w14:textId="108EBFA1" w:rsidR="008111CD" w:rsidRDefault="008111CD" w:rsidP="00A03C61">
            <w:pPr>
              <w:jc w:val="center"/>
            </w:pPr>
            <w:r>
              <w:t>0.50</w:t>
            </w:r>
          </w:p>
        </w:tc>
        <w:tc>
          <w:tcPr>
            <w:tcW w:w="1870" w:type="dxa"/>
          </w:tcPr>
          <w:p w14:paraId="1BEA09A2" w14:textId="51EA5FB0" w:rsidR="008111CD" w:rsidRDefault="008111CD" w:rsidP="00A03C61">
            <w:pPr>
              <w:jc w:val="center"/>
            </w:pPr>
            <w:r>
              <w:t>0.50</w:t>
            </w:r>
          </w:p>
        </w:tc>
        <w:tc>
          <w:tcPr>
            <w:tcW w:w="1870" w:type="dxa"/>
          </w:tcPr>
          <w:p w14:paraId="7C8055F4" w14:textId="0624832A" w:rsidR="008111CD" w:rsidRDefault="008111CD" w:rsidP="00A03C61">
            <w:pPr>
              <w:jc w:val="center"/>
            </w:pPr>
            <w:r>
              <w:t>4</w:t>
            </w:r>
          </w:p>
        </w:tc>
      </w:tr>
      <w:tr w:rsidR="008111CD" w14:paraId="6138DF66" w14:textId="77777777" w:rsidTr="008111CD">
        <w:tc>
          <w:tcPr>
            <w:tcW w:w="705" w:type="dxa"/>
          </w:tcPr>
          <w:p w14:paraId="7C6AB579" w14:textId="77777777" w:rsidR="008111CD" w:rsidRDefault="008111CD" w:rsidP="00A03C61">
            <w:pPr>
              <w:jc w:val="center"/>
            </w:pPr>
            <w:r>
              <w:t>El</w:t>
            </w:r>
          </w:p>
        </w:tc>
        <w:tc>
          <w:tcPr>
            <w:tcW w:w="1870" w:type="dxa"/>
          </w:tcPr>
          <w:p w14:paraId="24C0DFB7" w14:textId="1AA93251" w:rsidR="008111CD" w:rsidRDefault="008111CD" w:rsidP="00A03C61">
            <w:pPr>
              <w:jc w:val="center"/>
            </w:pPr>
            <w:r>
              <w:t>0</w:t>
            </w:r>
          </w:p>
        </w:tc>
        <w:tc>
          <w:tcPr>
            <w:tcW w:w="1870" w:type="dxa"/>
          </w:tcPr>
          <w:p w14:paraId="16533398" w14:textId="3C0CD736" w:rsidR="008111CD" w:rsidRDefault="008111CD" w:rsidP="00A03C61">
            <w:pPr>
              <w:jc w:val="center"/>
            </w:pPr>
            <w:r>
              <w:t>1.0</w:t>
            </w:r>
          </w:p>
        </w:tc>
        <w:tc>
          <w:tcPr>
            <w:tcW w:w="1870" w:type="dxa"/>
          </w:tcPr>
          <w:p w14:paraId="10EF05F8" w14:textId="1E32E070" w:rsidR="008111CD" w:rsidRDefault="008111CD" w:rsidP="00A03C61">
            <w:pPr>
              <w:jc w:val="center"/>
            </w:pPr>
            <w:r>
              <w:t>2</w:t>
            </w:r>
          </w:p>
        </w:tc>
      </w:tr>
    </w:tbl>
    <w:p w14:paraId="4027F49A" w14:textId="77777777" w:rsidR="008111CD" w:rsidRDefault="008111CD" w:rsidP="007501E9">
      <w:pPr>
        <w:ind w:left="360"/>
      </w:pPr>
    </w:p>
    <w:p w14:paraId="6DA6090D" w14:textId="77777777" w:rsidR="00A03C61" w:rsidRDefault="00A03C61" w:rsidP="00A03C61"/>
    <w:p w14:paraId="4B2D9443" w14:textId="7F6BA24D" w:rsidR="00A03C61" w:rsidRDefault="00A03C61" w:rsidP="007501E9">
      <w:pPr>
        <w:ind w:left="360"/>
      </w:pPr>
      <w:r>
        <w:t xml:space="preserve">Wage w is paid regardless of the outcome, b is only paid when good outcome (success) happens. This can only happen in </w:t>
      </w:r>
      <w:r w:rsidRPr="00A03C61">
        <w:rPr>
          <w:b/>
        </w:rPr>
        <w:t>1/4</w:t>
      </w:r>
      <w:r>
        <w:t xml:space="preserve"> of the scenarios above.</w:t>
      </w:r>
    </w:p>
    <w:p w14:paraId="15B6244C" w14:textId="77777777" w:rsidR="00A03C61" w:rsidRDefault="00A03C61" w:rsidP="007501E9">
      <w:pPr>
        <w:ind w:left="360"/>
      </w:pPr>
    </w:p>
    <w:p w14:paraId="079B32BB" w14:textId="2E6268D5" w:rsidR="00A03C61" w:rsidRDefault="00A03C61" w:rsidP="007501E9">
      <w:pPr>
        <w:ind w:left="360"/>
      </w:pPr>
      <w:r>
        <w:t>X is represented as wage in this question. So compensation in good state is xg = w+b and compensation in bad state is x = w. There is only one instance of “good” state, with the agent inducing high effort. So we will see how this plays out.</w:t>
      </w:r>
    </w:p>
    <w:p w14:paraId="6B9C4F3F" w14:textId="77777777" w:rsidR="00A03C61" w:rsidRDefault="00A03C61" w:rsidP="007501E9">
      <w:pPr>
        <w:ind w:left="360"/>
      </w:pPr>
    </w:p>
    <w:p w14:paraId="1B104348" w14:textId="77777777" w:rsidR="00A03C61" w:rsidRDefault="00A03C61" w:rsidP="007501E9">
      <w:pPr>
        <w:ind w:left="360"/>
      </w:pPr>
    </w:p>
    <w:p w14:paraId="59F1E172" w14:textId="0A422C29" w:rsidR="00A03C61" w:rsidRDefault="00A03C61" w:rsidP="00A03C61">
      <w:pPr>
        <w:pStyle w:val="ListParagraph"/>
        <w:numPr>
          <w:ilvl w:val="0"/>
          <w:numId w:val="42"/>
        </w:numPr>
      </w:pPr>
      <w:r>
        <w:t>Same constraints in risky scenarios must be satisfied: Participation Constraint and Incentive Compatibility Constraint.</w:t>
      </w:r>
    </w:p>
    <w:p w14:paraId="50D61D70" w14:textId="77777777" w:rsidR="00A03C61" w:rsidRDefault="00A03C61" w:rsidP="00A03C61"/>
    <w:p w14:paraId="5348ADA1" w14:textId="77777777" w:rsidR="00A03C61" w:rsidRDefault="00A03C61" w:rsidP="00A03C61">
      <w:pPr>
        <w:ind w:left="360"/>
      </w:pPr>
      <w:r>
        <w:t>Participation constraints for each effort scenario</w:t>
      </w:r>
    </w:p>
    <w:p w14:paraId="2639EE14" w14:textId="77777777" w:rsidR="00A03C61" w:rsidRDefault="00A03C61" w:rsidP="00A03C61">
      <w:pPr>
        <w:ind w:left="360"/>
      </w:pPr>
    </w:p>
    <w:tbl>
      <w:tblPr>
        <w:tblStyle w:val="TableGrid"/>
        <w:tblW w:w="5845" w:type="dxa"/>
        <w:tblInd w:w="360" w:type="dxa"/>
        <w:tblLook w:val="04A0" w:firstRow="1" w:lastRow="0" w:firstColumn="1" w:lastColumn="0" w:noHBand="0" w:noVBand="1"/>
      </w:tblPr>
      <w:tblGrid>
        <w:gridCol w:w="1359"/>
        <w:gridCol w:w="4486"/>
      </w:tblGrid>
      <w:tr w:rsidR="00AD519C" w14:paraId="4C5CF902" w14:textId="77777777" w:rsidTr="00AD519C">
        <w:trPr>
          <w:trHeight w:val="314"/>
        </w:trPr>
        <w:tc>
          <w:tcPr>
            <w:tcW w:w="1359" w:type="dxa"/>
          </w:tcPr>
          <w:p w14:paraId="176F4105" w14:textId="77777777" w:rsidR="00AD519C" w:rsidRDefault="00AD519C" w:rsidP="003E4EB8">
            <w:r>
              <w:t>Low</w:t>
            </w:r>
          </w:p>
        </w:tc>
        <w:tc>
          <w:tcPr>
            <w:tcW w:w="4486" w:type="dxa"/>
          </w:tcPr>
          <w:p w14:paraId="221E28CC" w14:textId="6A6F08EA" w:rsidR="00AD519C" w:rsidRDefault="00AD519C" w:rsidP="00A03C61">
            <m:oMathPara>
              <m:oMath>
                <m:sSup>
                  <m:sSupPr>
                    <m:ctrlPr>
                      <w:rPr>
                        <w:rFonts w:ascii="Cambria Math" w:hAnsi="Cambria Math"/>
                        <w:i/>
                      </w:rPr>
                    </m:ctrlPr>
                  </m:sSupPr>
                  <m:e>
                    <m:r>
                      <w:rPr>
                        <w:rFonts w:ascii="Cambria Math" w:hAnsi="Cambria Math"/>
                      </w:rPr>
                      <m:t>0</m:t>
                    </m:r>
                    <m:r>
                      <w:rPr>
                        <w:rFonts w:ascii="Cambria Math" w:hAnsi="Cambria Math"/>
                      </w:rPr>
                      <m:t>(</m:t>
                    </m:r>
                    <m:r>
                      <w:rPr>
                        <w:rFonts w:ascii="Cambria Math" w:hAnsi="Cambria Math"/>
                      </w:rPr>
                      <m:t>xg-0)</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1(xf</m:t>
                    </m:r>
                    <m:r>
                      <w:rPr>
                        <w:rFonts w:ascii="Cambria Math" w:hAnsi="Cambria Math"/>
                      </w:rPr>
                      <m:t>-0)</m:t>
                    </m:r>
                  </m:e>
                  <m:sup>
                    <m:r>
                      <w:rPr>
                        <w:rFonts w:ascii="Cambria Math" w:hAnsi="Cambria Math"/>
                      </w:rPr>
                      <m:t>a</m:t>
                    </m:r>
                  </m:sup>
                </m:sSup>
                <m:r>
                  <w:rPr>
                    <w:rFonts w:ascii="Cambria Math" w:hAnsi="Cambria Math"/>
                  </w:rPr>
                  <m:t>≥</m:t>
                </m:r>
                <m:r>
                  <w:rPr>
                    <w:rFonts w:ascii="Cambria Math" w:hAnsi="Cambria Math"/>
                  </w:rPr>
                  <m:t>1</m:t>
                </m:r>
              </m:oMath>
            </m:oMathPara>
          </w:p>
        </w:tc>
      </w:tr>
      <w:tr w:rsidR="00AD519C" w14:paraId="60780213" w14:textId="77777777" w:rsidTr="00AD519C">
        <w:tc>
          <w:tcPr>
            <w:tcW w:w="1359" w:type="dxa"/>
          </w:tcPr>
          <w:p w14:paraId="25C9975F" w14:textId="77777777" w:rsidR="00AD519C" w:rsidRDefault="00AD519C" w:rsidP="003E4EB8">
            <w:r>
              <w:t>High</w:t>
            </w:r>
          </w:p>
        </w:tc>
        <w:tc>
          <w:tcPr>
            <w:tcW w:w="4486" w:type="dxa"/>
          </w:tcPr>
          <w:p w14:paraId="41C0E297" w14:textId="11C374CF" w:rsidR="00AD519C" w:rsidRDefault="00AD519C" w:rsidP="00A03C61">
            <m:oMathPara>
              <m:oMath>
                <m:sSup>
                  <m:sSupPr>
                    <m:ctrlPr>
                      <w:rPr>
                        <w:rFonts w:ascii="Cambria Math" w:hAnsi="Cambria Math"/>
                        <w:i/>
                      </w:rPr>
                    </m:ctrlPr>
                  </m:sSupPr>
                  <m:e>
                    <m:r>
                      <w:rPr>
                        <w:rFonts w:ascii="Cambria Math" w:hAnsi="Cambria Math"/>
                      </w:rPr>
                      <m:t>0.5</m:t>
                    </m:r>
                    <m:r>
                      <w:rPr>
                        <w:rFonts w:ascii="Cambria Math" w:hAnsi="Cambria Math"/>
                      </w:rPr>
                      <m:t>(</m:t>
                    </m:r>
                    <m:r>
                      <w:rPr>
                        <w:rFonts w:ascii="Cambria Math" w:hAnsi="Cambria Math"/>
                      </w:rPr>
                      <m:t>xg-1)</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m:t>
                    </m:r>
                    <m:r>
                      <w:rPr>
                        <w:rFonts w:ascii="Cambria Math" w:hAnsi="Cambria Math"/>
                      </w:rPr>
                      <m:t>xf-1)</m:t>
                    </m:r>
                  </m:e>
                  <m:sup>
                    <m:r>
                      <w:rPr>
                        <w:rFonts w:ascii="Cambria Math" w:hAnsi="Cambria Math"/>
                      </w:rPr>
                      <m:t>a</m:t>
                    </m:r>
                  </m:sup>
                </m:sSup>
                <m:r>
                  <w:rPr>
                    <w:rFonts w:ascii="Cambria Math" w:hAnsi="Cambria Math"/>
                  </w:rPr>
                  <m:t>≥1</m:t>
                </m:r>
              </m:oMath>
            </m:oMathPara>
          </w:p>
        </w:tc>
      </w:tr>
    </w:tbl>
    <w:p w14:paraId="41344394" w14:textId="77777777" w:rsidR="00A03C61" w:rsidRDefault="00A03C61" w:rsidP="00A03C61">
      <w:pPr>
        <w:ind w:left="360"/>
      </w:pPr>
    </w:p>
    <w:p w14:paraId="1F844C88" w14:textId="4799A9CB" w:rsidR="003743D7" w:rsidRDefault="003743D7" w:rsidP="00A03C61">
      <w:pPr>
        <w:ind w:left="360"/>
      </w:pPr>
      <w:r>
        <w:t>Where xg = w+b</w:t>
      </w:r>
    </w:p>
    <w:p w14:paraId="3178B23B" w14:textId="77777777" w:rsidR="003743D7" w:rsidRDefault="003743D7" w:rsidP="00A03C61">
      <w:pPr>
        <w:ind w:left="360"/>
      </w:pPr>
    </w:p>
    <w:p w14:paraId="11B47F0D" w14:textId="3F8A0A5D" w:rsidR="00AD519C" w:rsidRDefault="00AD519C" w:rsidP="00AD519C">
      <w:pPr>
        <w:ind w:left="360"/>
      </w:pPr>
      <w:r>
        <w:t>Incentive Compatibility Constraints for each effort scenario</w:t>
      </w:r>
    </w:p>
    <w:p w14:paraId="2DBC63FC" w14:textId="77777777" w:rsidR="00AD519C" w:rsidRDefault="00AD519C" w:rsidP="00AD519C">
      <w:pPr>
        <w:ind w:left="360"/>
      </w:pPr>
    </w:p>
    <w:tbl>
      <w:tblPr>
        <w:tblStyle w:val="TableGrid"/>
        <w:tblW w:w="9085" w:type="dxa"/>
        <w:tblInd w:w="360" w:type="dxa"/>
        <w:tblLook w:val="04A0" w:firstRow="1" w:lastRow="0" w:firstColumn="1" w:lastColumn="0" w:noHBand="0" w:noVBand="1"/>
      </w:tblPr>
      <w:tblGrid>
        <w:gridCol w:w="1359"/>
        <w:gridCol w:w="7726"/>
      </w:tblGrid>
      <w:tr w:rsidR="00AD519C" w14:paraId="50FC90F4" w14:textId="77777777" w:rsidTr="00AD519C">
        <w:trPr>
          <w:trHeight w:val="314"/>
        </w:trPr>
        <w:tc>
          <w:tcPr>
            <w:tcW w:w="1359" w:type="dxa"/>
          </w:tcPr>
          <w:p w14:paraId="547AD423" w14:textId="77777777" w:rsidR="00AD519C" w:rsidRDefault="00AD519C" w:rsidP="003E4EB8">
            <w:r>
              <w:t>Low</w:t>
            </w:r>
          </w:p>
        </w:tc>
        <w:tc>
          <w:tcPr>
            <w:tcW w:w="7726" w:type="dxa"/>
          </w:tcPr>
          <w:p w14:paraId="07292852" w14:textId="5EA82823" w:rsidR="00AD519C" w:rsidRDefault="00AD519C" w:rsidP="003E4EB8">
            <m:oMathPara>
              <m:oMath>
                <m:sSup>
                  <m:sSupPr>
                    <m:ctrlPr>
                      <w:rPr>
                        <w:rFonts w:ascii="Cambria Math" w:hAnsi="Cambria Math"/>
                        <w:i/>
                      </w:rPr>
                    </m:ctrlPr>
                  </m:sSupPr>
                  <m:e>
                    <m:r>
                      <w:rPr>
                        <w:rFonts w:ascii="Cambria Math" w:hAnsi="Cambria Math"/>
                      </w:rPr>
                      <m:t>0</m:t>
                    </m:r>
                    <m:r>
                      <w:rPr>
                        <w:rFonts w:ascii="Cambria Math" w:hAnsi="Cambria Math"/>
                      </w:rPr>
                      <m:t>(</m:t>
                    </m:r>
                    <m:r>
                      <w:rPr>
                        <w:rFonts w:ascii="Cambria Math" w:hAnsi="Cambria Math"/>
                      </w:rPr>
                      <m:t>xg-0)</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m:t>
                    </m:r>
                    <m:r>
                      <w:rPr>
                        <w:rFonts w:ascii="Cambria Math" w:hAnsi="Cambria Math"/>
                      </w:rPr>
                      <m:t>xf-0)</m:t>
                    </m:r>
                  </m:e>
                  <m:sup>
                    <m:r>
                      <w:rPr>
                        <w:rFonts w:ascii="Cambria Math" w:hAnsi="Cambria Math"/>
                      </w:rPr>
                      <m:t>a</m:t>
                    </m:r>
                  </m:sup>
                </m:sSup>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 xml:space="preserve"> </m:t>
                    </m:r>
                    <m:r>
                      <w:rPr>
                        <w:rFonts w:ascii="Cambria Math" w:hAnsi="Cambria Math"/>
                      </w:rPr>
                      <m:t>0.5</m:t>
                    </m:r>
                    <m:r>
                      <w:rPr>
                        <w:rFonts w:ascii="Cambria Math" w:hAnsi="Cambria Math"/>
                      </w:rPr>
                      <m:t>(</m:t>
                    </m:r>
                    <m:r>
                      <w:rPr>
                        <w:rFonts w:ascii="Cambria Math" w:hAnsi="Cambria Math"/>
                      </w:rPr>
                      <m:t>xg-1)</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m:t>
                    </m:r>
                    <m:r>
                      <w:rPr>
                        <w:rFonts w:ascii="Cambria Math" w:hAnsi="Cambria Math"/>
                      </w:rPr>
                      <m:t>xf-1)</m:t>
                    </m:r>
                  </m:e>
                  <m:sup>
                    <m:r>
                      <w:rPr>
                        <w:rFonts w:ascii="Cambria Math" w:hAnsi="Cambria Math"/>
                      </w:rPr>
                      <m:t>a</m:t>
                    </m:r>
                  </m:sup>
                </m:sSup>
              </m:oMath>
            </m:oMathPara>
          </w:p>
        </w:tc>
      </w:tr>
      <w:tr w:rsidR="00AD519C" w14:paraId="3CC5D58F" w14:textId="77777777" w:rsidTr="00AD519C">
        <w:tc>
          <w:tcPr>
            <w:tcW w:w="1359" w:type="dxa"/>
          </w:tcPr>
          <w:p w14:paraId="0451BF34" w14:textId="77777777" w:rsidR="00AD519C" w:rsidRDefault="00AD519C" w:rsidP="003E4EB8">
            <w:r>
              <w:t>High</w:t>
            </w:r>
          </w:p>
        </w:tc>
        <w:tc>
          <w:tcPr>
            <w:tcW w:w="7726" w:type="dxa"/>
          </w:tcPr>
          <w:p w14:paraId="4F20EA35" w14:textId="72CB171D" w:rsidR="00AD519C" w:rsidRDefault="00AD519C" w:rsidP="00AD519C">
            <m:oMathPara>
              <m:oMath>
                <m:sSup>
                  <m:sSupPr>
                    <m:ctrlPr>
                      <w:rPr>
                        <w:rFonts w:ascii="Cambria Math" w:hAnsi="Cambria Math"/>
                        <w:i/>
                      </w:rPr>
                    </m:ctrlPr>
                  </m:sSupPr>
                  <m:e>
                    <m:r>
                      <w:rPr>
                        <w:rFonts w:ascii="Cambria Math" w:hAnsi="Cambria Math"/>
                      </w:rPr>
                      <m:t>0.5</m:t>
                    </m:r>
                    <m:r>
                      <w:rPr>
                        <w:rFonts w:ascii="Cambria Math" w:hAnsi="Cambria Math"/>
                      </w:rPr>
                      <m:t>(</m:t>
                    </m:r>
                    <m:r>
                      <w:rPr>
                        <w:rFonts w:ascii="Cambria Math" w:hAnsi="Cambria Math"/>
                      </w:rPr>
                      <m:t>xg-1)</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m:t>
                    </m:r>
                    <m:r>
                      <w:rPr>
                        <w:rFonts w:ascii="Cambria Math" w:hAnsi="Cambria Math"/>
                      </w:rPr>
                      <m:t>xf-1)</m:t>
                    </m:r>
                  </m:e>
                  <m:sup>
                    <m:r>
                      <w:rPr>
                        <w:rFonts w:ascii="Cambria Math" w:hAnsi="Cambria Math"/>
                      </w:rPr>
                      <m:t>a</m:t>
                    </m:r>
                  </m:sup>
                </m:sSup>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 xml:space="preserve"> </m:t>
                    </m:r>
                    <m:r>
                      <w:rPr>
                        <w:rFonts w:ascii="Cambria Math" w:hAnsi="Cambria Math"/>
                      </w:rPr>
                      <m:t>0</m:t>
                    </m:r>
                    <m:r>
                      <w:rPr>
                        <w:rFonts w:ascii="Cambria Math" w:hAnsi="Cambria Math"/>
                      </w:rPr>
                      <m:t>(</m:t>
                    </m:r>
                    <m:r>
                      <w:rPr>
                        <w:rFonts w:ascii="Cambria Math" w:hAnsi="Cambria Math"/>
                      </w:rPr>
                      <m:t>xg-0)</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m:t>
                    </m:r>
                    <m:r>
                      <w:rPr>
                        <w:rFonts w:ascii="Cambria Math" w:hAnsi="Cambria Math"/>
                      </w:rPr>
                      <m:t>xf-0)</m:t>
                    </m:r>
                  </m:e>
                  <m:sup>
                    <m:r>
                      <w:rPr>
                        <w:rFonts w:ascii="Cambria Math" w:hAnsi="Cambria Math"/>
                      </w:rPr>
                      <m:t>a</m:t>
                    </m:r>
                  </m:sup>
                </m:sSup>
              </m:oMath>
            </m:oMathPara>
          </w:p>
        </w:tc>
      </w:tr>
    </w:tbl>
    <w:p w14:paraId="145B1E67" w14:textId="77777777" w:rsidR="00AD519C" w:rsidRDefault="00AD519C" w:rsidP="00A03C61">
      <w:pPr>
        <w:ind w:left="360"/>
      </w:pPr>
    </w:p>
    <w:p w14:paraId="1EB29E05" w14:textId="77777777" w:rsidR="00AD519C" w:rsidRDefault="00AD519C" w:rsidP="00A03C61">
      <w:pPr>
        <w:ind w:left="360"/>
      </w:pPr>
    </w:p>
    <w:p w14:paraId="2538AFEB" w14:textId="0F265A66" w:rsidR="00AD519C" w:rsidRDefault="00AD519C" w:rsidP="00AD519C">
      <w:pPr>
        <w:ind w:left="360"/>
      </w:pPr>
      <w:r>
        <w:t>Thus, the wage contract must satisfy both of these constraints for each effort level, as usual. In this case, however, we are considering a risky agent, making optimal wages for high effort difficult to solve.</w:t>
      </w:r>
    </w:p>
    <w:p w14:paraId="4BB58E71" w14:textId="77777777" w:rsidR="00AD519C" w:rsidRDefault="00AD519C" w:rsidP="00AD519C">
      <w:pPr>
        <w:ind w:left="360"/>
      </w:pPr>
    </w:p>
    <w:p w14:paraId="4D66AA42" w14:textId="18B8302A" w:rsidR="00AD519C" w:rsidRDefault="00AD519C" w:rsidP="00AD519C">
      <w:pPr>
        <w:pStyle w:val="ListParagraph"/>
        <w:numPr>
          <w:ilvl w:val="0"/>
          <w:numId w:val="42"/>
        </w:numPr>
      </w:pPr>
      <w:r>
        <w:t xml:space="preserve">If inducing low effort Pat would pay a flat rate as always with no bonus. </w:t>
      </w:r>
      <w:r w:rsidR="00AE0165">
        <w:t>Thus,</w:t>
      </w:r>
      <w:r>
        <w:t xml:space="preserve"> he would set Ws = Wf = W based on the participation constraint above.</w:t>
      </w:r>
    </w:p>
    <w:p w14:paraId="3862B4A3" w14:textId="77777777" w:rsidR="00AD519C" w:rsidRDefault="00AD519C" w:rsidP="00AD519C"/>
    <w:p w14:paraId="150A4230" w14:textId="69C4C9FB" w:rsidR="00AD519C" w:rsidRDefault="00AE0165" w:rsidP="00AD519C">
      <w:pPr>
        <w:ind w:left="720"/>
      </w:pPr>
      <w:r>
        <w:t xml:space="preserve">Therefore, Pat would set </w:t>
      </w:r>
      <m:oMath>
        <m:sSup>
          <m:sSupPr>
            <m:ctrlPr>
              <w:rPr>
                <w:rFonts w:ascii="Cambria Math" w:hAnsi="Cambria Math"/>
                <w:i/>
              </w:rPr>
            </m:ctrlPr>
          </m:sSupPr>
          <m:e>
            <m:r>
              <w:rPr>
                <w:rFonts w:ascii="Cambria Math" w:hAnsi="Cambria Math"/>
              </w:rPr>
              <m:t>0(xg-0)</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1(xf-0)</m:t>
            </m:r>
          </m:e>
          <m:sup>
            <m:r>
              <w:rPr>
                <w:rFonts w:ascii="Cambria Math" w:hAnsi="Cambria Math"/>
              </w:rPr>
              <m:t>a</m:t>
            </m:r>
          </m:sup>
        </m:sSup>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a</m:t>
            </m:r>
          </m:sup>
        </m:sSup>
        <m:r>
          <w:rPr>
            <w:rFonts w:ascii="Cambria Math" w:hAnsi="Cambria Math"/>
          </w:rPr>
          <m:t>≥1</m:t>
        </m:r>
      </m:oMath>
      <w:r>
        <w:rPr>
          <w:rFonts w:eastAsiaTheme="minorEastAsia"/>
        </w:rPr>
        <w:t xml:space="preserve"> </w:t>
      </w:r>
    </w:p>
    <w:p w14:paraId="3BAA4ED7" w14:textId="3D858889" w:rsidR="00AD519C" w:rsidRDefault="00AE0165" w:rsidP="00AE0165">
      <w:pPr>
        <w:ind w:left="720"/>
      </w:pPr>
      <w:r>
        <w:t>Leading Pat to pay a flat wage of 1</w:t>
      </w:r>
      <w:r w:rsidR="003743D7">
        <w:t xml:space="preserve"> for inducing low effort regardless of risk level given this scenario</w:t>
      </w:r>
      <w:r>
        <w:t>. This wage satisfies both the participation and IC constraints above.</w:t>
      </w:r>
    </w:p>
    <w:p w14:paraId="470E409D" w14:textId="77777777" w:rsidR="00AD519C" w:rsidRDefault="00AD519C" w:rsidP="00AD519C"/>
    <w:p w14:paraId="4CAF8097" w14:textId="4562C944" w:rsidR="00AE0165" w:rsidRDefault="00AE0165" w:rsidP="00AE0165">
      <w:pPr>
        <w:ind w:left="720"/>
      </w:pPr>
      <w:r>
        <w:t>Based on low effort, Pat would expect revenue of 2 and pay a wage of 1, resulting in a profit of 1. Pat can make a profit with low effort.</w:t>
      </w:r>
      <w:r w:rsidR="0045731B">
        <w:t xml:space="preserve"> However, by inducing low effort, Pat guarantees a bad outcome as he has no probability of success.</w:t>
      </w:r>
      <w:r w:rsidR="003743D7">
        <w:t xml:space="preserve"> He would not offer a bonus here as a flat wage would optimally induce low effort.</w:t>
      </w:r>
    </w:p>
    <w:p w14:paraId="46D3CE41" w14:textId="77777777" w:rsidR="003743D7" w:rsidRDefault="003743D7" w:rsidP="00AE0165">
      <w:pPr>
        <w:ind w:left="720"/>
      </w:pPr>
    </w:p>
    <w:p w14:paraId="469C6F53" w14:textId="77777777" w:rsidR="003743D7" w:rsidRDefault="003743D7" w:rsidP="00AE0165">
      <w:pPr>
        <w:ind w:left="720"/>
      </w:pPr>
    </w:p>
    <w:p w14:paraId="7A67A993" w14:textId="77777777" w:rsidR="003743D7" w:rsidRDefault="003743D7" w:rsidP="00AE0165">
      <w:pPr>
        <w:ind w:left="720"/>
      </w:pPr>
    </w:p>
    <w:p w14:paraId="0859029E" w14:textId="2A6795C3" w:rsidR="003743D7" w:rsidRDefault="003743D7" w:rsidP="003743D7">
      <w:pPr>
        <w:pStyle w:val="ListParagraph"/>
        <w:numPr>
          <w:ilvl w:val="0"/>
          <w:numId w:val="42"/>
        </w:numPr>
      </w:pPr>
      <w:r>
        <w:t>High effort in a risk averse situation is difficult to solve for, however, we can solve for w and b iteratively to find a scenario that works for the participation and incentive compatibility constraints.</w:t>
      </w:r>
    </w:p>
    <w:p w14:paraId="74279465" w14:textId="770FE8B9" w:rsidR="003743D7" w:rsidRDefault="003743D7" w:rsidP="003743D7"/>
    <w:p w14:paraId="385FF9FE" w14:textId="26C62B31" w:rsidR="003743D7" w:rsidRDefault="003743D7" w:rsidP="003743D7">
      <w:pPr>
        <w:ind w:left="720"/>
      </w:pPr>
      <w:r>
        <w:t>Given high effort, there is a 50% chance of a good outcome, where a bonus can be applied. Expanding our constraints for high effort, then:</w:t>
      </w:r>
    </w:p>
    <w:p w14:paraId="6D13AC4E" w14:textId="77777777" w:rsidR="003743D7" w:rsidRDefault="003743D7" w:rsidP="003743D7">
      <w:pPr>
        <w:ind w:left="720"/>
      </w:pPr>
    </w:p>
    <w:tbl>
      <w:tblPr>
        <w:tblStyle w:val="TableGrid"/>
        <w:tblW w:w="8001" w:type="dxa"/>
        <w:tblInd w:w="904" w:type="dxa"/>
        <w:tblLook w:val="04A0" w:firstRow="1" w:lastRow="0" w:firstColumn="1" w:lastColumn="0" w:noHBand="0" w:noVBand="1"/>
      </w:tblPr>
      <w:tblGrid>
        <w:gridCol w:w="1063"/>
        <w:gridCol w:w="6938"/>
      </w:tblGrid>
      <w:tr w:rsidR="003743D7" w14:paraId="65AA894C" w14:textId="77777777" w:rsidTr="003743D7">
        <w:tc>
          <w:tcPr>
            <w:tcW w:w="1063" w:type="dxa"/>
          </w:tcPr>
          <w:p w14:paraId="42EB0244" w14:textId="20AF70C5" w:rsidR="003743D7" w:rsidRDefault="003743D7" w:rsidP="003E4EB8">
            <w:r>
              <w:t>PC</w:t>
            </w:r>
          </w:p>
        </w:tc>
        <w:tc>
          <w:tcPr>
            <w:tcW w:w="6938" w:type="dxa"/>
          </w:tcPr>
          <w:p w14:paraId="4CC2BBC6" w14:textId="7624FEFD" w:rsidR="003743D7" w:rsidRDefault="003743D7" w:rsidP="003E4EB8">
            <m:oMathPara>
              <m:oMath>
                <m:sSup>
                  <m:sSupPr>
                    <m:ctrlPr>
                      <w:rPr>
                        <w:rFonts w:ascii="Cambria Math" w:hAnsi="Cambria Math"/>
                        <w:i/>
                      </w:rPr>
                    </m:ctrlPr>
                  </m:sSupPr>
                  <m:e>
                    <m:r>
                      <w:rPr>
                        <w:rFonts w:ascii="Cambria Math" w:hAnsi="Cambria Math"/>
                      </w:rPr>
                      <m:t>0.5(</m:t>
                    </m:r>
                    <m:r>
                      <w:rPr>
                        <w:rFonts w:ascii="Cambria Math" w:hAnsi="Cambria Math"/>
                      </w:rPr>
                      <m:t>w+b</m:t>
                    </m:r>
                    <m:r>
                      <w:rPr>
                        <w:rFonts w:ascii="Cambria Math" w:hAnsi="Cambria Math"/>
                      </w:rPr>
                      <m:t>-1)</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w</m:t>
                    </m:r>
                    <m:r>
                      <w:rPr>
                        <w:rFonts w:ascii="Cambria Math" w:hAnsi="Cambria Math"/>
                      </w:rPr>
                      <m:t>-1)</m:t>
                    </m:r>
                  </m:e>
                  <m:sup>
                    <m:r>
                      <w:rPr>
                        <w:rFonts w:ascii="Cambria Math" w:hAnsi="Cambria Math"/>
                      </w:rPr>
                      <m:t>a</m:t>
                    </m:r>
                  </m:sup>
                </m:sSup>
                <m:r>
                  <w:rPr>
                    <w:rFonts w:ascii="Cambria Math" w:hAnsi="Cambria Math"/>
                  </w:rPr>
                  <m:t>≥1</m:t>
                </m:r>
              </m:oMath>
            </m:oMathPara>
          </w:p>
        </w:tc>
      </w:tr>
      <w:tr w:rsidR="003743D7" w14:paraId="3BBF83EC" w14:textId="77777777" w:rsidTr="003743D7">
        <w:tc>
          <w:tcPr>
            <w:tcW w:w="1063" w:type="dxa"/>
          </w:tcPr>
          <w:p w14:paraId="7CB04D27" w14:textId="7E21B2F7" w:rsidR="003743D7" w:rsidRDefault="003743D7" w:rsidP="003E4EB8">
            <w:r>
              <w:t>ICC</w:t>
            </w:r>
          </w:p>
        </w:tc>
        <w:tc>
          <w:tcPr>
            <w:tcW w:w="6938" w:type="dxa"/>
          </w:tcPr>
          <w:p w14:paraId="128CB9C5" w14:textId="0E729AA7" w:rsidR="003743D7" w:rsidRDefault="003743D7" w:rsidP="003E4EB8">
            <m:oMathPara>
              <m:oMath>
                <m:sSup>
                  <m:sSupPr>
                    <m:ctrlPr>
                      <w:rPr>
                        <w:rFonts w:ascii="Cambria Math" w:hAnsi="Cambria Math"/>
                        <w:i/>
                      </w:rPr>
                    </m:ctrlPr>
                  </m:sSupPr>
                  <m:e>
                    <m:r>
                      <w:rPr>
                        <w:rFonts w:ascii="Cambria Math" w:hAnsi="Cambria Math"/>
                      </w:rPr>
                      <m:t>0.5(</m:t>
                    </m:r>
                    <m:r>
                      <w:rPr>
                        <w:rFonts w:ascii="Cambria Math" w:hAnsi="Cambria Math"/>
                      </w:rPr>
                      <m:t>w+b</m:t>
                    </m:r>
                    <m:r>
                      <w:rPr>
                        <w:rFonts w:ascii="Cambria Math" w:hAnsi="Cambria Math"/>
                      </w:rPr>
                      <m:t>-1)</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w</m:t>
                    </m:r>
                    <m:r>
                      <w:rPr>
                        <w:rFonts w:ascii="Cambria Math" w:hAnsi="Cambria Math"/>
                      </w:rPr>
                      <m:t>-1)</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0(</m:t>
                    </m:r>
                    <m:r>
                      <w:rPr>
                        <w:rFonts w:ascii="Cambria Math" w:hAnsi="Cambria Math"/>
                      </w:rPr>
                      <m:t>w+b</m:t>
                    </m:r>
                    <m:r>
                      <w:rPr>
                        <w:rFonts w:ascii="Cambria Math" w:hAnsi="Cambria Math"/>
                      </w:rPr>
                      <m:t>-0)</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w</m:t>
                    </m:r>
                    <m:r>
                      <w:rPr>
                        <w:rFonts w:ascii="Cambria Math" w:hAnsi="Cambria Math"/>
                      </w:rPr>
                      <m:t>-0)</m:t>
                    </m:r>
                  </m:e>
                  <m:sup>
                    <m:r>
                      <w:rPr>
                        <w:rFonts w:ascii="Cambria Math" w:hAnsi="Cambria Math"/>
                      </w:rPr>
                      <m:t>a</m:t>
                    </m:r>
                  </m:sup>
                </m:sSup>
              </m:oMath>
            </m:oMathPara>
          </w:p>
        </w:tc>
      </w:tr>
    </w:tbl>
    <w:p w14:paraId="1B73BE36" w14:textId="77777777" w:rsidR="003743D7" w:rsidRDefault="003743D7" w:rsidP="003743D7">
      <w:pPr>
        <w:ind w:left="720"/>
      </w:pPr>
    </w:p>
    <w:p w14:paraId="63085330" w14:textId="77777777" w:rsidR="00BC7582" w:rsidRDefault="00BC7582" w:rsidP="00BC7582">
      <w:pPr>
        <w:ind w:left="720"/>
      </w:pPr>
      <w:r>
        <w:t xml:space="preserve">We know that w in low effort case is 1, however, this does not induce high effort, only low effort. Therefore, we need to add on some additional utility to induce our agent to give high effort. </w:t>
      </w:r>
    </w:p>
    <w:p w14:paraId="4133040C" w14:textId="77777777" w:rsidR="00BC7582" w:rsidRDefault="00BC7582" w:rsidP="00BC7582">
      <w:pPr>
        <w:ind w:left="720"/>
      </w:pPr>
    </w:p>
    <w:p w14:paraId="743024DE" w14:textId="516C4229" w:rsidR="00BC7582" w:rsidRDefault="00BC7582" w:rsidP="00BC7582">
      <w:pPr>
        <w:ind w:left="720"/>
      </w:pPr>
      <w:r>
        <w:t>This bonus is dependent on their risk profile. Assuming a risk neutral agent with a = 1. A bonus of 2 would be sufficient to satisfy high effort constraints above. It also solves for our additional parameters of only providing a bonus when a good outcome occurs.</w:t>
      </w:r>
    </w:p>
    <w:p w14:paraId="1D40BA8A" w14:textId="77777777" w:rsidR="00BC7582" w:rsidRDefault="00BC7582" w:rsidP="00BC7582">
      <w:pPr>
        <w:ind w:left="720"/>
      </w:pPr>
    </w:p>
    <w:p w14:paraId="767A438B" w14:textId="05A2E012" w:rsidR="00BC7582" w:rsidRPr="00BC7582" w:rsidRDefault="00BC7582" w:rsidP="00BC7582">
      <w:pPr>
        <w:ind w:left="720"/>
        <w:rPr>
          <w:rFonts w:eastAsiaTheme="minorEastAsia"/>
        </w:rPr>
      </w:pPr>
      <m:oMathPara>
        <m:oMath>
          <m:sSup>
            <m:sSupPr>
              <m:ctrlPr>
                <w:rPr>
                  <w:rFonts w:ascii="Cambria Math" w:hAnsi="Cambria Math"/>
                  <w:i/>
                </w:rPr>
              </m:ctrlPr>
            </m:sSupPr>
            <m:e>
              <m:r>
                <w:rPr>
                  <w:rFonts w:ascii="Cambria Math" w:hAnsi="Cambria Math"/>
                </w:rPr>
                <m:t>0.5(</m:t>
              </m:r>
              <m:r>
                <w:rPr>
                  <w:rFonts w:ascii="Cambria Math" w:hAnsi="Cambria Math"/>
                </w:rPr>
                <m:t>1</m:t>
              </m:r>
              <m:r>
                <w:rPr>
                  <w:rFonts w:ascii="Cambria Math" w:hAnsi="Cambria Math"/>
                </w:rPr>
                <m:t>+</m:t>
              </m:r>
              <m:r>
                <w:rPr>
                  <w:rFonts w:ascii="Cambria Math" w:hAnsi="Cambria Math"/>
                </w:rPr>
                <m:t>2</m:t>
              </m:r>
              <m:r>
                <w:rPr>
                  <w:rFonts w:ascii="Cambria Math" w:hAnsi="Cambria Math"/>
                </w:rPr>
                <m:t>-1)</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1</m:t>
              </m:r>
              <m:r>
                <w:rPr>
                  <w:rFonts w:ascii="Cambria Math" w:hAnsi="Cambria Math"/>
                </w:rPr>
                <m:t>-1)</m:t>
              </m:r>
            </m:e>
            <m:sup>
              <m:r>
                <w:rPr>
                  <w:rFonts w:ascii="Cambria Math" w:hAnsi="Cambria Math"/>
                </w:rPr>
                <m:t>1</m:t>
              </m:r>
            </m:sup>
          </m:sSup>
          <m:r>
            <w:rPr>
              <w:rFonts w:ascii="Cambria Math" w:hAnsi="Cambria Math"/>
            </w:rPr>
            <m:t>≥1</m:t>
          </m:r>
          <m:r>
            <w:rPr>
              <w:rFonts w:ascii="Cambria Math" w:hAnsi="Cambria Math"/>
            </w:rPr>
            <m:t>=TRUE</m:t>
          </m:r>
        </m:oMath>
      </m:oMathPara>
    </w:p>
    <w:p w14:paraId="38F2506F" w14:textId="43224851" w:rsidR="00BC7582" w:rsidRPr="00907BFF" w:rsidRDefault="00BC7582" w:rsidP="00BC7582">
      <w:pPr>
        <w:ind w:left="720"/>
      </w:pPr>
      <m:oMathPara>
        <m:oMath>
          <m:sSup>
            <m:sSupPr>
              <m:ctrlPr>
                <w:rPr>
                  <w:rFonts w:ascii="Cambria Math" w:hAnsi="Cambria Math"/>
                  <w:i/>
                </w:rPr>
              </m:ctrlPr>
            </m:sSupPr>
            <m:e>
              <m:r>
                <w:rPr>
                  <w:rFonts w:ascii="Cambria Math" w:hAnsi="Cambria Math"/>
                </w:rPr>
                <m:t>0.5(</m:t>
              </m:r>
              <m:r>
                <w:rPr>
                  <w:rFonts w:ascii="Cambria Math" w:hAnsi="Cambria Math"/>
                </w:rPr>
                <m:t>1</m:t>
              </m:r>
              <m:r>
                <w:rPr>
                  <w:rFonts w:ascii="Cambria Math" w:hAnsi="Cambria Math"/>
                </w:rPr>
                <m:t>+</m:t>
              </m:r>
              <m:r>
                <w:rPr>
                  <w:rFonts w:ascii="Cambria Math" w:hAnsi="Cambria Math"/>
                </w:rPr>
                <m:t>2</m:t>
              </m:r>
              <m:r>
                <w:rPr>
                  <w:rFonts w:ascii="Cambria Math" w:hAnsi="Cambria Math"/>
                </w:rPr>
                <m:t>-1)</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0.5(</m:t>
              </m:r>
              <m:r>
                <w:rPr>
                  <w:rFonts w:ascii="Cambria Math" w:hAnsi="Cambria Math"/>
                </w:rPr>
                <m:t>1</m:t>
              </m:r>
              <m:r>
                <w:rPr>
                  <w:rFonts w:ascii="Cambria Math" w:hAnsi="Cambria Math"/>
                </w:rPr>
                <m:t>-1)</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0</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-0</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rPr>
                    <m:t>-0</m:t>
                  </m:r>
                </m:e>
              </m:d>
            </m:e>
            <m:sup>
              <m:r>
                <w:rPr>
                  <w:rFonts w:ascii="Cambria Math" w:hAnsi="Cambria Math"/>
                </w:rPr>
                <m:t>1</m:t>
              </m:r>
            </m:sup>
          </m:sSup>
          <m:r>
            <w:rPr>
              <w:rFonts w:ascii="Cambria Math" w:hAnsi="Cambria Math"/>
            </w:rPr>
            <m:t>=TRUE</m:t>
          </m:r>
        </m:oMath>
      </m:oMathPara>
    </w:p>
    <w:p w14:paraId="09345D77" w14:textId="77777777" w:rsidR="00BC7582" w:rsidRDefault="00BC7582" w:rsidP="00BC7582">
      <w:pPr>
        <w:ind w:left="720"/>
      </w:pPr>
    </w:p>
    <w:p w14:paraId="316BE86C" w14:textId="2AA40408" w:rsidR="00520515" w:rsidRDefault="00520515" w:rsidP="00BC7582">
      <w:pPr>
        <w:ind w:left="720"/>
      </w:pPr>
      <w:r>
        <w:t>Given these wages, 3 for good outcome and 1 for bad outcome and probabilities of 50% each, the expected total payout to the agent is 0.5(3)+0.5(1) = 2. Given expected revenue of 4 and expected payout of 2, Pat earns 2 in profit from inducing high effort, which is greater than low effort, GIVEN a risk neutral agent.</w:t>
      </w:r>
    </w:p>
    <w:p w14:paraId="713B5E5A" w14:textId="77777777" w:rsidR="00520515" w:rsidRDefault="00520515" w:rsidP="00BC7582">
      <w:pPr>
        <w:ind w:left="720"/>
      </w:pPr>
    </w:p>
    <w:p w14:paraId="6B0ABFA6" w14:textId="7D1D285F" w:rsidR="00520515" w:rsidRDefault="00520515" w:rsidP="00520515">
      <w:pPr>
        <w:ind w:left="720"/>
      </w:pPr>
      <w:r>
        <w:t>If this scenario is adjusted for a risk averse agent with 0.5 risk level, the situation changes. A bonus of 4 would need to be offered to satisfy our constraints. This additional 2 in bonus can be considered a risk premium:</w:t>
      </w:r>
    </w:p>
    <w:p w14:paraId="57F21504" w14:textId="77777777" w:rsidR="00520515" w:rsidRDefault="00520515" w:rsidP="00520515">
      <w:pPr>
        <w:ind w:left="720"/>
      </w:pPr>
    </w:p>
    <w:p w14:paraId="1650B59C" w14:textId="69BD5D3E" w:rsidR="00520515" w:rsidRPr="00BC7582" w:rsidRDefault="00520515" w:rsidP="00520515">
      <w:pPr>
        <w:ind w:left="720"/>
        <w:rPr>
          <w:rFonts w:eastAsiaTheme="minorEastAsia"/>
        </w:rPr>
      </w:pPr>
      <m:oMathPara>
        <m:oMath>
          <m:sSup>
            <m:sSupPr>
              <m:ctrlPr>
                <w:rPr>
                  <w:rFonts w:ascii="Cambria Math" w:hAnsi="Cambria Math"/>
                  <w:i/>
                </w:rPr>
              </m:ctrlPr>
            </m:sSupPr>
            <m:e>
              <m:r>
                <w:rPr>
                  <w:rFonts w:ascii="Cambria Math" w:hAnsi="Cambria Math"/>
                </w:rPr>
                <m:t>0.5(1+</m:t>
              </m:r>
              <m:r>
                <w:rPr>
                  <w:rFonts w:ascii="Cambria Math" w:hAnsi="Cambria Math"/>
                </w:rPr>
                <m:t>4</m:t>
              </m:r>
              <m:r>
                <w:rPr>
                  <w:rFonts w:ascii="Cambria Math" w:hAnsi="Cambria Math"/>
                </w:rPr>
                <m:t>-1)</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0.5(1-1)</m:t>
              </m:r>
            </m:e>
            <m:sup>
              <m:r>
                <w:rPr>
                  <w:rFonts w:ascii="Cambria Math" w:hAnsi="Cambria Math"/>
                </w:rPr>
                <m:t>0.5</m:t>
              </m:r>
            </m:sup>
          </m:sSup>
          <m:r>
            <w:rPr>
              <w:rFonts w:ascii="Cambria Math" w:hAnsi="Cambria Math"/>
            </w:rPr>
            <m:t>≥1=TRUE</m:t>
          </m:r>
        </m:oMath>
      </m:oMathPara>
    </w:p>
    <w:p w14:paraId="3153EF26" w14:textId="7D7A2AB9" w:rsidR="00520515" w:rsidRPr="00907BFF" w:rsidRDefault="00520515" w:rsidP="00520515">
      <w:pPr>
        <w:ind w:left="720"/>
      </w:pPr>
      <m:oMathPara>
        <m:oMath>
          <m:sSup>
            <m:sSupPr>
              <m:ctrlPr>
                <w:rPr>
                  <w:rFonts w:ascii="Cambria Math" w:hAnsi="Cambria Math"/>
                  <w:i/>
                </w:rPr>
              </m:ctrlPr>
            </m:sSupPr>
            <m:e>
              <m:r>
                <w:rPr>
                  <w:rFonts w:ascii="Cambria Math" w:hAnsi="Cambria Math"/>
                </w:rPr>
                <m:t>0.5(1+4-1)</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0.5(1-1)</m:t>
              </m:r>
            </m:e>
            <m:sup>
              <m:r>
                <w:rPr>
                  <w:rFonts w:ascii="Cambria Math" w:hAnsi="Cambria Math"/>
                </w:rPr>
                <m:t>0.5</m:t>
              </m:r>
            </m:sup>
          </m:sSup>
          <m:r>
            <w:rPr>
              <w:rFonts w:ascii="Cambria Math" w:hAnsi="Cambria Math"/>
            </w:rPr>
            <m:t xml:space="preserve"> ≥</m:t>
          </m:r>
          <m:sSup>
            <m:sSupPr>
              <m:ctrlPr>
                <w:rPr>
                  <w:rFonts w:ascii="Cambria Math" w:hAnsi="Cambria Math"/>
                  <w:i/>
                </w:rPr>
              </m:ctrlPr>
            </m:sSupPr>
            <m:e>
              <m:r>
                <w:rPr>
                  <w:rFonts w:ascii="Cambria Math" w:hAnsi="Cambria Math"/>
                </w:rPr>
                <m:t xml:space="preserve"> 0</m:t>
              </m:r>
              <m:d>
                <m:dPr>
                  <m:ctrlPr>
                    <w:rPr>
                      <w:rFonts w:ascii="Cambria Math" w:hAnsi="Cambria Math"/>
                      <w:i/>
                    </w:rPr>
                  </m:ctrlPr>
                </m:dPr>
                <m:e>
                  <m:r>
                    <w:rPr>
                      <w:rFonts w:ascii="Cambria Math" w:hAnsi="Cambria Math"/>
                    </w:rPr>
                    <m:t>1+</m:t>
                  </m:r>
                  <m:r>
                    <w:rPr>
                      <w:rFonts w:ascii="Cambria Math" w:hAnsi="Cambria Math"/>
                    </w:rPr>
                    <m:t>4</m:t>
                  </m:r>
                  <m:r>
                    <w:rPr>
                      <w:rFonts w:ascii="Cambria Math" w:hAnsi="Cambria Math"/>
                    </w:rPr>
                    <m:t>-0</m:t>
                  </m:r>
                </m:e>
              </m:d>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1-0</m:t>
                  </m:r>
                </m:e>
              </m:d>
            </m:e>
            <m:sup>
              <m:r>
                <w:rPr>
                  <w:rFonts w:ascii="Cambria Math" w:hAnsi="Cambria Math"/>
                </w:rPr>
                <m:t>0.5</m:t>
              </m:r>
            </m:sup>
          </m:sSup>
          <m:r>
            <w:rPr>
              <w:rFonts w:ascii="Cambria Math" w:hAnsi="Cambria Math"/>
            </w:rPr>
            <m:t>=TRUE</m:t>
          </m:r>
        </m:oMath>
      </m:oMathPara>
    </w:p>
    <w:p w14:paraId="62A2B042" w14:textId="77777777" w:rsidR="00520515" w:rsidRDefault="00520515" w:rsidP="00520515">
      <w:pPr>
        <w:ind w:left="720"/>
      </w:pPr>
    </w:p>
    <w:p w14:paraId="52C60287" w14:textId="629E1BB4" w:rsidR="00520515" w:rsidRDefault="00520515" w:rsidP="00520515">
      <w:pPr>
        <w:ind w:left="720"/>
      </w:pPr>
      <w:r>
        <w:t>Pat’s profit changes substantially with expected payout to the agent of 0.5(5) + 0.5(1) = 3 and a profit of 4-3 = 1, which is the same as in low effort. Pat is now indifferent to effort because of the risk profile of the agent.</w:t>
      </w:r>
    </w:p>
    <w:p w14:paraId="47C81A19" w14:textId="77777777" w:rsidR="00520515" w:rsidRDefault="00520515" w:rsidP="00520515">
      <w:pPr>
        <w:ind w:left="720"/>
      </w:pPr>
    </w:p>
    <w:p w14:paraId="6699B46F" w14:textId="77777777" w:rsidR="00520515" w:rsidRDefault="00520515" w:rsidP="00520515">
      <w:pPr>
        <w:ind w:left="720"/>
      </w:pPr>
    </w:p>
    <w:p w14:paraId="3CB3FB34" w14:textId="3F646BD2" w:rsidR="00155BA6" w:rsidRPr="00155BA6" w:rsidRDefault="00155BA6" w:rsidP="00155BA6">
      <w:pPr>
        <w:pStyle w:val="ListParagraph"/>
        <w:numPr>
          <w:ilvl w:val="0"/>
          <w:numId w:val="42"/>
        </w:numPr>
        <w:rPr>
          <w:rFonts w:eastAsiaTheme="minorEastAsia"/>
        </w:rPr>
      </w:p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HE</m:t>
                </m:r>
              </m:sub>
            </m:sSub>
          </m:e>
          <m:e>
            <m:r>
              <w:rPr>
                <w:rFonts w:ascii="Cambria Math" w:hAnsi="Cambria Math" w:cs="Times New Roman"/>
              </w:rPr>
              <m:t>a</m:t>
            </m:r>
          </m:e>
        </m:d>
        <m:r>
          <w:rPr>
            <w:rFonts w:ascii="Cambria Math" w:hAnsi="Cambria Math" w:cs="Times New Roman"/>
          </w:rPr>
          <m:t xml:space="preserve">&gt; </m:t>
        </m:r>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LE</m:t>
                </m:r>
              </m:sub>
            </m:sSub>
          </m:e>
          <m:e>
            <m:r>
              <w:rPr>
                <w:rFonts w:ascii="Cambria Math" w:hAnsi="Cambria Math" w:cs="Times New Roman"/>
              </w:rPr>
              <m:t>a</m:t>
            </m:r>
          </m:e>
        </m:d>
        <m:r>
          <w:rPr>
            <w:rFonts w:ascii="Cambria Math" w:hAnsi="Cambria Math" w:cs="Times New Roman"/>
          </w:rPr>
          <m:t xml:space="preserve"> </m:t>
        </m:r>
      </m:oMath>
    </w:p>
    <w:p w14:paraId="2C39A3C7" w14:textId="7EB354D8" w:rsidR="00155BA6" w:rsidRDefault="00155BA6" w:rsidP="00155BA6">
      <w:pPr>
        <w:pStyle w:val="ListParagraph"/>
        <w:rPr>
          <w:rFonts w:eastAsiaTheme="minorEastAsia"/>
        </w:rPr>
      </w:pPr>
    </w:p>
    <w:p w14:paraId="40CACE98" w14:textId="1E834C94" w:rsidR="00155BA6" w:rsidRDefault="00155BA6" w:rsidP="00155BA6">
      <w:pPr>
        <w:pStyle w:val="ListParagraph"/>
        <w:rPr>
          <w:rFonts w:eastAsiaTheme="minorEastAsia"/>
        </w:rPr>
      </w:pPr>
      <w:r>
        <w:rPr>
          <w:rFonts w:eastAsiaTheme="minorEastAsia"/>
        </w:rPr>
        <w:t xml:space="preserve">Depending on the agent’s risk level, Pat may want to induce high effort if the agent if his expected profit is greater in the high effort scenario. This is dependent on the agent’s tolerance for risk. As long as agent’s risk level is &gt; 0.5, Pat stands to gain a profit from inducing high effort. </w:t>
      </w:r>
    </w:p>
    <w:p w14:paraId="2E1D8230" w14:textId="77777777" w:rsidR="00155BA6" w:rsidRDefault="00155BA6" w:rsidP="00155BA6">
      <w:pPr>
        <w:pStyle w:val="ListParagraph"/>
        <w:rPr>
          <w:rFonts w:eastAsiaTheme="minorEastAsia"/>
        </w:rPr>
      </w:pPr>
    </w:p>
    <w:p w14:paraId="3D183CA9" w14:textId="5E9030D4" w:rsidR="00155BA6" w:rsidRPr="00155BA6" w:rsidRDefault="00155BA6" w:rsidP="00155BA6">
      <w:pPr>
        <w:pStyle w:val="ListParagraph"/>
        <w:numPr>
          <w:ilvl w:val="0"/>
          <w:numId w:val="42"/>
        </w:numPr>
        <w:rPr>
          <w:rFonts w:eastAsiaTheme="minorEastAsia"/>
        </w:rPr>
      </w:pPr>
      <w:r>
        <w:rPr>
          <w:rFonts w:eastAsiaTheme="minorEastAsia"/>
        </w:rPr>
        <w:t xml:space="preserve">As the degree of risk aversion rises, inducing high effort becomes less attractive to Pat. This is because, as seen above in part C, Pat has to pay additional risk premium to induce Pat to provide high effort. </w:t>
      </w:r>
      <w:r w:rsidR="00993BBE">
        <w:rPr>
          <w:rFonts w:eastAsiaTheme="minorEastAsia"/>
        </w:rPr>
        <w:t>This reduces expected profit for Pat. Thus, as risk aversion rises, in this case, Pat can expect lowe</w:t>
      </w:r>
      <w:r w:rsidR="00B81FC1">
        <w:rPr>
          <w:rFonts w:eastAsiaTheme="minorEastAsia"/>
        </w:rPr>
        <w:t>r</w:t>
      </w:r>
      <w:r w:rsidR="00993BBE">
        <w:rPr>
          <w:rFonts w:eastAsiaTheme="minorEastAsia"/>
        </w:rPr>
        <w:t xml:space="preserve"> profit. </w:t>
      </w:r>
      <w:r>
        <w:rPr>
          <w:rFonts w:eastAsiaTheme="minorEastAsia"/>
        </w:rPr>
        <w:t>After dropping below 0.5 risk level, Pat is better off inducing low effort with a flat wage.</w:t>
      </w:r>
      <w:r w:rsidR="00993BBE">
        <w:rPr>
          <w:rFonts w:eastAsiaTheme="minorEastAsia"/>
        </w:rPr>
        <w:t xml:space="preserve"> </w:t>
      </w:r>
    </w:p>
    <w:p w14:paraId="31AC03AE" w14:textId="13D7AFB7" w:rsidR="00520515" w:rsidRDefault="00520515" w:rsidP="00155BA6">
      <w:pPr>
        <w:pStyle w:val="ListParagraph"/>
      </w:pPr>
    </w:p>
    <w:p w14:paraId="0F6DE864" w14:textId="77777777" w:rsidR="00520515" w:rsidRDefault="00520515" w:rsidP="00520515">
      <w:pPr>
        <w:ind w:left="720"/>
      </w:pPr>
    </w:p>
    <w:p w14:paraId="06790C6A" w14:textId="77777777" w:rsidR="00520515" w:rsidRDefault="00520515" w:rsidP="00520515">
      <w:pPr>
        <w:ind w:left="720"/>
      </w:pPr>
    </w:p>
    <w:p w14:paraId="6CDDE7F1" w14:textId="77777777" w:rsidR="00520515" w:rsidRPr="00907BFF" w:rsidRDefault="00520515" w:rsidP="00520515">
      <w:pPr>
        <w:ind w:left="720"/>
      </w:pPr>
    </w:p>
    <w:sectPr w:rsidR="00520515" w:rsidRPr="00907BFF" w:rsidSect="0072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B9F"/>
    <w:multiLevelType w:val="hybridMultilevel"/>
    <w:tmpl w:val="23944C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6625C"/>
    <w:multiLevelType w:val="hybridMultilevel"/>
    <w:tmpl w:val="F1B07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3D77"/>
    <w:multiLevelType w:val="hybridMultilevel"/>
    <w:tmpl w:val="2A066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06583"/>
    <w:multiLevelType w:val="hybridMultilevel"/>
    <w:tmpl w:val="04848310"/>
    <w:lvl w:ilvl="0" w:tplc="82C077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1461BC"/>
    <w:multiLevelType w:val="hybridMultilevel"/>
    <w:tmpl w:val="D2FE05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AF0668"/>
    <w:multiLevelType w:val="hybridMultilevel"/>
    <w:tmpl w:val="9C7265B8"/>
    <w:lvl w:ilvl="0" w:tplc="5E72968A">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845DFF"/>
    <w:multiLevelType w:val="hybridMultilevel"/>
    <w:tmpl w:val="8A50C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52E6E"/>
    <w:multiLevelType w:val="hybridMultilevel"/>
    <w:tmpl w:val="E50A7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70AC7"/>
    <w:multiLevelType w:val="hybridMultilevel"/>
    <w:tmpl w:val="F84C0A6C"/>
    <w:lvl w:ilvl="0" w:tplc="B3B47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2418D"/>
    <w:multiLevelType w:val="hybridMultilevel"/>
    <w:tmpl w:val="2742701E"/>
    <w:lvl w:ilvl="0" w:tplc="22161B9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4878E0"/>
    <w:multiLevelType w:val="hybridMultilevel"/>
    <w:tmpl w:val="C8783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D02242"/>
    <w:multiLevelType w:val="hybridMultilevel"/>
    <w:tmpl w:val="2C202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172DC"/>
    <w:multiLevelType w:val="hybridMultilevel"/>
    <w:tmpl w:val="7336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5F7DF6"/>
    <w:multiLevelType w:val="hybridMultilevel"/>
    <w:tmpl w:val="50008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454339"/>
    <w:multiLevelType w:val="hybridMultilevel"/>
    <w:tmpl w:val="CE342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E459B"/>
    <w:multiLevelType w:val="hybridMultilevel"/>
    <w:tmpl w:val="DF927D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6544EC"/>
    <w:multiLevelType w:val="hybridMultilevel"/>
    <w:tmpl w:val="7EDC4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5476D"/>
    <w:multiLevelType w:val="hybridMultilevel"/>
    <w:tmpl w:val="01EE724C"/>
    <w:lvl w:ilvl="0" w:tplc="194AA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551C9B"/>
    <w:multiLevelType w:val="hybridMultilevel"/>
    <w:tmpl w:val="D4E297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854D34"/>
    <w:multiLevelType w:val="hybridMultilevel"/>
    <w:tmpl w:val="3834A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195AC2"/>
    <w:multiLevelType w:val="hybridMultilevel"/>
    <w:tmpl w:val="D6B69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EB2977"/>
    <w:multiLevelType w:val="hybridMultilevel"/>
    <w:tmpl w:val="181EB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063FC"/>
    <w:multiLevelType w:val="hybridMultilevel"/>
    <w:tmpl w:val="437EA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76C07"/>
    <w:multiLevelType w:val="hybridMultilevel"/>
    <w:tmpl w:val="3222A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371D24"/>
    <w:multiLevelType w:val="hybridMultilevel"/>
    <w:tmpl w:val="F4B8D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730282"/>
    <w:multiLevelType w:val="hybridMultilevel"/>
    <w:tmpl w:val="19005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DE5A4E"/>
    <w:multiLevelType w:val="hybridMultilevel"/>
    <w:tmpl w:val="D9947BF4"/>
    <w:lvl w:ilvl="0" w:tplc="D64833E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D44038"/>
    <w:multiLevelType w:val="hybridMultilevel"/>
    <w:tmpl w:val="98A80F7A"/>
    <w:lvl w:ilvl="0" w:tplc="A0BA6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086451"/>
    <w:multiLevelType w:val="hybridMultilevel"/>
    <w:tmpl w:val="9A982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4317AB"/>
    <w:multiLevelType w:val="hybridMultilevel"/>
    <w:tmpl w:val="F01E7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A12712"/>
    <w:multiLevelType w:val="hybridMultilevel"/>
    <w:tmpl w:val="6B38A930"/>
    <w:lvl w:ilvl="0" w:tplc="86E814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85CAB"/>
    <w:multiLevelType w:val="hybridMultilevel"/>
    <w:tmpl w:val="B3DEDD00"/>
    <w:lvl w:ilvl="0" w:tplc="BDACDE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675159"/>
    <w:multiLevelType w:val="hybridMultilevel"/>
    <w:tmpl w:val="77F8C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C411EA"/>
    <w:multiLevelType w:val="hybridMultilevel"/>
    <w:tmpl w:val="B2261282"/>
    <w:lvl w:ilvl="0" w:tplc="3684C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C80777"/>
    <w:multiLevelType w:val="hybridMultilevel"/>
    <w:tmpl w:val="8BA4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782733"/>
    <w:multiLevelType w:val="hybridMultilevel"/>
    <w:tmpl w:val="C9F66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875600"/>
    <w:multiLevelType w:val="multilevel"/>
    <w:tmpl w:val="733674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AB91721"/>
    <w:multiLevelType w:val="hybridMultilevel"/>
    <w:tmpl w:val="3A2A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E78B5"/>
    <w:multiLevelType w:val="hybridMultilevel"/>
    <w:tmpl w:val="ABAEDA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76E092B"/>
    <w:multiLevelType w:val="hybridMultilevel"/>
    <w:tmpl w:val="6ADE5EC8"/>
    <w:lvl w:ilvl="0" w:tplc="FFA4FB5A">
      <w:start w:val="5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E3D44DD"/>
    <w:multiLevelType w:val="hybridMultilevel"/>
    <w:tmpl w:val="8FD0C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EB58C4"/>
    <w:multiLevelType w:val="hybridMultilevel"/>
    <w:tmpl w:val="F496D55A"/>
    <w:lvl w:ilvl="0" w:tplc="A90A78F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2"/>
  </w:num>
  <w:num w:numId="3">
    <w:abstractNumId w:val="24"/>
  </w:num>
  <w:num w:numId="4">
    <w:abstractNumId w:val="13"/>
  </w:num>
  <w:num w:numId="5">
    <w:abstractNumId w:val="23"/>
  </w:num>
  <w:num w:numId="6">
    <w:abstractNumId w:val="21"/>
  </w:num>
  <w:num w:numId="7">
    <w:abstractNumId w:val="0"/>
  </w:num>
  <w:num w:numId="8">
    <w:abstractNumId w:val="19"/>
  </w:num>
  <w:num w:numId="9">
    <w:abstractNumId w:val="14"/>
  </w:num>
  <w:num w:numId="10">
    <w:abstractNumId w:val="39"/>
  </w:num>
  <w:num w:numId="11">
    <w:abstractNumId w:val="41"/>
  </w:num>
  <w:num w:numId="12">
    <w:abstractNumId w:val="35"/>
  </w:num>
  <w:num w:numId="13">
    <w:abstractNumId w:val="17"/>
  </w:num>
  <w:num w:numId="14">
    <w:abstractNumId w:val="10"/>
  </w:num>
  <w:num w:numId="15">
    <w:abstractNumId w:val="29"/>
  </w:num>
  <w:num w:numId="16">
    <w:abstractNumId w:val="32"/>
  </w:num>
  <w:num w:numId="17">
    <w:abstractNumId w:val="25"/>
  </w:num>
  <w:num w:numId="18">
    <w:abstractNumId w:val="1"/>
  </w:num>
  <w:num w:numId="19">
    <w:abstractNumId w:val="20"/>
  </w:num>
  <w:num w:numId="20">
    <w:abstractNumId w:val="18"/>
  </w:num>
  <w:num w:numId="21">
    <w:abstractNumId w:val="4"/>
  </w:num>
  <w:num w:numId="22">
    <w:abstractNumId w:val="28"/>
  </w:num>
  <w:num w:numId="23">
    <w:abstractNumId w:val="15"/>
  </w:num>
  <w:num w:numId="24">
    <w:abstractNumId w:val="31"/>
  </w:num>
  <w:num w:numId="25">
    <w:abstractNumId w:val="9"/>
  </w:num>
  <w:num w:numId="26">
    <w:abstractNumId w:val="12"/>
  </w:num>
  <w:num w:numId="27">
    <w:abstractNumId w:val="3"/>
  </w:num>
  <w:num w:numId="28">
    <w:abstractNumId w:val="8"/>
  </w:num>
  <w:num w:numId="29">
    <w:abstractNumId w:val="36"/>
  </w:num>
  <w:num w:numId="30">
    <w:abstractNumId w:val="30"/>
  </w:num>
  <w:num w:numId="31">
    <w:abstractNumId w:val="11"/>
  </w:num>
  <w:num w:numId="32">
    <w:abstractNumId w:val="5"/>
  </w:num>
  <w:num w:numId="33">
    <w:abstractNumId w:val="16"/>
  </w:num>
  <w:num w:numId="34">
    <w:abstractNumId w:val="33"/>
  </w:num>
  <w:num w:numId="35">
    <w:abstractNumId w:val="34"/>
  </w:num>
  <w:num w:numId="36">
    <w:abstractNumId w:val="38"/>
  </w:num>
  <w:num w:numId="37">
    <w:abstractNumId w:val="40"/>
  </w:num>
  <w:num w:numId="38">
    <w:abstractNumId w:val="26"/>
  </w:num>
  <w:num w:numId="39">
    <w:abstractNumId w:val="27"/>
  </w:num>
  <w:num w:numId="40">
    <w:abstractNumId w:val="37"/>
  </w:num>
  <w:num w:numId="41">
    <w:abstractNumId w:val="7"/>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46"/>
    <w:rsid w:val="000008A1"/>
    <w:rsid w:val="0000171B"/>
    <w:rsid w:val="000051F6"/>
    <w:rsid w:val="00005F78"/>
    <w:rsid w:val="00007538"/>
    <w:rsid w:val="000101A4"/>
    <w:rsid w:val="0001423E"/>
    <w:rsid w:val="000243D2"/>
    <w:rsid w:val="00025A8A"/>
    <w:rsid w:val="00027A81"/>
    <w:rsid w:val="00036417"/>
    <w:rsid w:val="000477BB"/>
    <w:rsid w:val="000514E3"/>
    <w:rsid w:val="000570D6"/>
    <w:rsid w:val="00060B4F"/>
    <w:rsid w:val="000651E8"/>
    <w:rsid w:val="000705FB"/>
    <w:rsid w:val="00071872"/>
    <w:rsid w:val="00071CC6"/>
    <w:rsid w:val="000742B3"/>
    <w:rsid w:val="000743DC"/>
    <w:rsid w:val="000933EC"/>
    <w:rsid w:val="000A008C"/>
    <w:rsid w:val="000B01D6"/>
    <w:rsid w:val="000B33DC"/>
    <w:rsid w:val="000B38EC"/>
    <w:rsid w:val="000C70F0"/>
    <w:rsid w:val="000C72FB"/>
    <w:rsid w:val="000C7E99"/>
    <w:rsid w:val="000E1615"/>
    <w:rsid w:val="000E186F"/>
    <w:rsid w:val="000E2967"/>
    <w:rsid w:val="000F513A"/>
    <w:rsid w:val="000F57C9"/>
    <w:rsid w:val="000F6772"/>
    <w:rsid w:val="0010155E"/>
    <w:rsid w:val="00104C27"/>
    <w:rsid w:val="001051C3"/>
    <w:rsid w:val="001113AA"/>
    <w:rsid w:val="00115724"/>
    <w:rsid w:val="00116415"/>
    <w:rsid w:val="00117824"/>
    <w:rsid w:val="001219FB"/>
    <w:rsid w:val="001325EA"/>
    <w:rsid w:val="00135553"/>
    <w:rsid w:val="00144263"/>
    <w:rsid w:val="00146BCE"/>
    <w:rsid w:val="001471B6"/>
    <w:rsid w:val="00155BA6"/>
    <w:rsid w:val="00186BC5"/>
    <w:rsid w:val="00195A9E"/>
    <w:rsid w:val="001A0244"/>
    <w:rsid w:val="001A1379"/>
    <w:rsid w:val="001A2788"/>
    <w:rsid w:val="001B2134"/>
    <w:rsid w:val="001B2D2A"/>
    <w:rsid w:val="001B57A5"/>
    <w:rsid w:val="001C2A3A"/>
    <w:rsid w:val="001D7DD8"/>
    <w:rsid w:val="001F0DFA"/>
    <w:rsid w:val="001F5A41"/>
    <w:rsid w:val="001F6C37"/>
    <w:rsid w:val="0020090C"/>
    <w:rsid w:val="00202B7C"/>
    <w:rsid w:val="00210617"/>
    <w:rsid w:val="00213674"/>
    <w:rsid w:val="00213E34"/>
    <w:rsid w:val="002142C0"/>
    <w:rsid w:val="00217BC9"/>
    <w:rsid w:val="00220CAC"/>
    <w:rsid w:val="002227FD"/>
    <w:rsid w:val="00225F0E"/>
    <w:rsid w:val="0022759F"/>
    <w:rsid w:val="0023715A"/>
    <w:rsid w:val="002440E1"/>
    <w:rsid w:val="0025456A"/>
    <w:rsid w:val="00267FFB"/>
    <w:rsid w:val="00270439"/>
    <w:rsid w:val="00270BC1"/>
    <w:rsid w:val="00277E04"/>
    <w:rsid w:val="002A0A0C"/>
    <w:rsid w:val="002A2D51"/>
    <w:rsid w:val="002A4AD1"/>
    <w:rsid w:val="002A6BDA"/>
    <w:rsid w:val="002B158F"/>
    <w:rsid w:val="002C498A"/>
    <w:rsid w:val="002D1397"/>
    <w:rsid w:val="002D72C8"/>
    <w:rsid w:val="002F15B9"/>
    <w:rsid w:val="002F1E6D"/>
    <w:rsid w:val="002F5AC1"/>
    <w:rsid w:val="00300B07"/>
    <w:rsid w:val="00301211"/>
    <w:rsid w:val="003112CD"/>
    <w:rsid w:val="00324522"/>
    <w:rsid w:val="00331122"/>
    <w:rsid w:val="00333B89"/>
    <w:rsid w:val="0033418D"/>
    <w:rsid w:val="00345BF3"/>
    <w:rsid w:val="003513E8"/>
    <w:rsid w:val="00356652"/>
    <w:rsid w:val="0035673A"/>
    <w:rsid w:val="003632D2"/>
    <w:rsid w:val="0036343B"/>
    <w:rsid w:val="00363747"/>
    <w:rsid w:val="003678ED"/>
    <w:rsid w:val="00371AAE"/>
    <w:rsid w:val="00371B30"/>
    <w:rsid w:val="003743D7"/>
    <w:rsid w:val="0039059B"/>
    <w:rsid w:val="00397345"/>
    <w:rsid w:val="003A479C"/>
    <w:rsid w:val="003A6C80"/>
    <w:rsid w:val="003B6101"/>
    <w:rsid w:val="003C0174"/>
    <w:rsid w:val="003D0784"/>
    <w:rsid w:val="003D7087"/>
    <w:rsid w:val="003E07A5"/>
    <w:rsid w:val="003E2F1D"/>
    <w:rsid w:val="003F410D"/>
    <w:rsid w:val="003F7491"/>
    <w:rsid w:val="00404919"/>
    <w:rsid w:val="00405A28"/>
    <w:rsid w:val="00413C2C"/>
    <w:rsid w:val="00420C66"/>
    <w:rsid w:val="004232C0"/>
    <w:rsid w:val="00425E36"/>
    <w:rsid w:val="004270E9"/>
    <w:rsid w:val="00451AF1"/>
    <w:rsid w:val="00456174"/>
    <w:rsid w:val="00456D69"/>
    <w:rsid w:val="0045731B"/>
    <w:rsid w:val="0046217A"/>
    <w:rsid w:val="0046545D"/>
    <w:rsid w:val="004706DF"/>
    <w:rsid w:val="00471E50"/>
    <w:rsid w:val="0047599D"/>
    <w:rsid w:val="004849E2"/>
    <w:rsid w:val="00485B9C"/>
    <w:rsid w:val="004901B9"/>
    <w:rsid w:val="00491BDF"/>
    <w:rsid w:val="004920B5"/>
    <w:rsid w:val="004A7559"/>
    <w:rsid w:val="004A7A70"/>
    <w:rsid w:val="004B0140"/>
    <w:rsid w:val="004B11DC"/>
    <w:rsid w:val="004B52C5"/>
    <w:rsid w:val="004B66C2"/>
    <w:rsid w:val="004B67BE"/>
    <w:rsid w:val="004B76B1"/>
    <w:rsid w:val="004C0F6B"/>
    <w:rsid w:val="004C3D5B"/>
    <w:rsid w:val="004C7968"/>
    <w:rsid w:val="004C79A7"/>
    <w:rsid w:val="004D1B1C"/>
    <w:rsid w:val="004D23FA"/>
    <w:rsid w:val="004D3F73"/>
    <w:rsid w:val="004D5081"/>
    <w:rsid w:val="004D745E"/>
    <w:rsid w:val="004D7FED"/>
    <w:rsid w:val="004E2828"/>
    <w:rsid w:val="004E4C37"/>
    <w:rsid w:val="004E785E"/>
    <w:rsid w:val="004F03B5"/>
    <w:rsid w:val="004F3CDD"/>
    <w:rsid w:val="004F3D75"/>
    <w:rsid w:val="00514E60"/>
    <w:rsid w:val="00520515"/>
    <w:rsid w:val="005235A9"/>
    <w:rsid w:val="0053512B"/>
    <w:rsid w:val="00535F01"/>
    <w:rsid w:val="005366E8"/>
    <w:rsid w:val="00547151"/>
    <w:rsid w:val="00550DBA"/>
    <w:rsid w:val="00554619"/>
    <w:rsid w:val="00554983"/>
    <w:rsid w:val="00557959"/>
    <w:rsid w:val="00563117"/>
    <w:rsid w:val="00571AA7"/>
    <w:rsid w:val="00576CC5"/>
    <w:rsid w:val="00583CE8"/>
    <w:rsid w:val="005913F0"/>
    <w:rsid w:val="00597271"/>
    <w:rsid w:val="005B2BCE"/>
    <w:rsid w:val="005B3E63"/>
    <w:rsid w:val="005B4FAA"/>
    <w:rsid w:val="005B6BA4"/>
    <w:rsid w:val="005C1A8A"/>
    <w:rsid w:val="005C5988"/>
    <w:rsid w:val="005C6C6F"/>
    <w:rsid w:val="005E73B4"/>
    <w:rsid w:val="005E7D47"/>
    <w:rsid w:val="005F50E1"/>
    <w:rsid w:val="005F558E"/>
    <w:rsid w:val="0060254E"/>
    <w:rsid w:val="00603E4E"/>
    <w:rsid w:val="006067A4"/>
    <w:rsid w:val="00611C9D"/>
    <w:rsid w:val="0061759C"/>
    <w:rsid w:val="0062400E"/>
    <w:rsid w:val="006243E1"/>
    <w:rsid w:val="00624F0C"/>
    <w:rsid w:val="00626D31"/>
    <w:rsid w:val="0064102A"/>
    <w:rsid w:val="00641B4B"/>
    <w:rsid w:val="006446DD"/>
    <w:rsid w:val="00645F64"/>
    <w:rsid w:val="00651EB7"/>
    <w:rsid w:val="00652742"/>
    <w:rsid w:val="00655EDF"/>
    <w:rsid w:val="00655FF7"/>
    <w:rsid w:val="00662BBF"/>
    <w:rsid w:val="00671B78"/>
    <w:rsid w:val="00677135"/>
    <w:rsid w:val="00686F21"/>
    <w:rsid w:val="00695653"/>
    <w:rsid w:val="00696E11"/>
    <w:rsid w:val="00696EDC"/>
    <w:rsid w:val="006A1400"/>
    <w:rsid w:val="006A39A7"/>
    <w:rsid w:val="006B20E6"/>
    <w:rsid w:val="006B44C1"/>
    <w:rsid w:val="006B5A28"/>
    <w:rsid w:val="006B5C5F"/>
    <w:rsid w:val="006C2F53"/>
    <w:rsid w:val="006C32DB"/>
    <w:rsid w:val="006C41A2"/>
    <w:rsid w:val="006C4C99"/>
    <w:rsid w:val="006C7DF2"/>
    <w:rsid w:val="006D386C"/>
    <w:rsid w:val="006D572C"/>
    <w:rsid w:val="006E36D8"/>
    <w:rsid w:val="006F1092"/>
    <w:rsid w:val="006F12FD"/>
    <w:rsid w:val="006F301D"/>
    <w:rsid w:val="006F3BBD"/>
    <w:rsid w:val="0071537A"/>
    <w:rsid w:val="007236D5"/>
    <w:rsid w:val="00726C35"/>
    <w:rsid w:val="00741872"/>
    <w:rsid w:val="00743F9C"/>
    <w:rsid w:val="007501E9"/>
    <w:rsid w:val="0075452F"/>
    <w:rsid w:val="00762AA8"/>
    <w:rsid w:val="00762BF6"/>
    <w:rsid w:val="00766E43"/>
    <w:rsid w:val="00772BB6"/>
    <w:rsid w:val="00774C1E"/>
    <w:rsid w:val="0077734A"/>
    <w:rsid w:val="00790559"/>
    <w:rsid w:val="007948AD"/>
    <w:rsid w:val="007979FF"/>
    <w:rsid w:val="007A159E"/>
    <w:rsid w:val="007A1851"/>
    <w:rsid w:val="007B0C76"/>
    <w:rsid w:val="007B1E08"/>
    <w:rsid w:val="007D3F56"/>
    <w:rsid w:val="007E3ADB"/>
    <w:rsid w:val="007E73EE"/>
    <w:rsid w:val="00800426"/>
    <w:rsid w:val="008111CD"/>
    <w:rsid w:val="00812D98"/>
    <w:rsid w:val="00831D0E"/>
    <w:rsid w:val="00832277"/>
    <w:rsid w:val="00832853"/>
    <w:rsid w:val="00845066"/>
    <w:rsid w:val="008450A8"/>
    <w:rsid w:val="008523CE"/>
    <w:rsid w:val="00856450"/>
    <w:rsid w:val="00863A20"/>
    <w:rsid w:val="00871733"/>
    <w:rsid w:val="0087428F"/>
    <w:rsid w:val="0087640C"/>
    <w:rsid w:val="0087708C"/>
    <w:rsid w:val="00883F16"/>
    <w:rsid w:val="00884D2C"/>
    <w:rsid w:val="00885ADE"/>
    <w:rsid w:val="0089050D"/>
    <w:rsid w:val="00891488"/>
    <w:rsid w:val="00891825"/>
    <w:rsid w:val="00895D9C"/>
    <w:rsid w:val="00897916"/>
    <w:rsid w:val="008A0304"/>
    <w:rsid w:val="008A6DEA"/>
    <w:rsid w:val="008B7A46"/>
    <w:rsid w:val="008D6FCD"/>
    <w:rsid w:val="008E1C20"/>
    <w:rsid w:val="008E1D9F"/>
    <w:rsid w:val="008E2F0F"/>
    <w:rsid w:val="008E3DAD"/>
    <w:rsid w:val="008E7A62"/>
    <w:rsid w:val="008F3754"/>
    <w:rsid w:val="009027E8"/>
    <w:rsid w:val="00907BFF"/>
    <w:rsid w:val="00911B8B"/>
    <w:rsid w:val="009137FF"/>
    <w:rsid w:val="00915D44"/>
    <w:rsid w:val="00916D42"/>
    <w:rsid w:val="009171B7"/>
    <w:rsid w:val="009232D2"/>
    <w:rsid w:val="009256ED"/>
    <w:rsid w:val="00926B2D"/>
    <w:rsid w:val="00935B09"/>
    <w:rsid w:val="00936D1E"/>
    <w:rsid w:val="009401CC"/>
    <w:rsid w:val="00944DBD"/>
    <w:rsid w:val="00952B30"/>
    <w:rsid w:val="00953666"/>
    <w:rsid w:val="00964D6E"/>
    <w:rsid w:val="00965DB4"/>
    <w:rsid w:val="00975E14"/>
    <w:rsid w:val="0099300C"/>
    <w:rsid w:val="00993BBE"/>
    <w:rsid w:val="009A13E4"/>
    <w:rsid w:val="009A4E20"/>
    <w:rsid w:val="009A4E72"/>
    <w:rsid w:val="009A6081"/>
    <w:rsid w:val="009B6416"/>
    <w:rsid w:val="009C6F36"/>
    <w:rsid w:val="009E08F9"/>
    <w:rsid w:val="009E3704"/>
    <w:rsid w:val="009E5D3A"/>
    <w:rsid w:val="009F0E37"/>
    <w:rsid w:val="009F0FF2"/>
    <w:rsid w:val="009F172F"/>
    <w:rsid w:val="009F29D4"/>
    <w:rsid w:val="009F4B66"/>
    <w:rsid w:val="009F5B44"/>
    <w:rsid w:val="009F61A8"/>
    <w:rsid w:val="009F7416"/>
    <w:rsid w:val="009F7F9F"/>
    <w:rsid w:val="00A0141B"/>
    <w:rsid w:val="00A03C61"/>
    <w:rsid w:val="00A07DE8"/>
    <w:rsid w:val="00A12A3A"/>
    <w:rsid w:val="00A14DE0"/>
    <w:rsid w:val="00A15D51"/>
    <w:rsid w:val="00A178BA"/>
    <w:rsid w:val="00A20EE4"/>
    <w:rsid w:val="00A3367A"/>
    <w:rsid w:val="00A34999"/>
    <w:rsid w:val="00A4054C"/>
    <w:rsid w:val="00A4717F"/>
    <w:rsid w:val="00A60AAF"/>
    <w:rsid w:val="00A63236"/>
    <w:rsid w:val="00A660CF"/>
    <w:rsid w:val="00A7488C"/>
    <w:rsid w:val="00A77301"/>
    <w:rsid w:val="00A856F4"/>
    <w:rsid w:val="00A87E49"/>
    <w:rsid w:val="00A90684"/>
    <w:rsid w:val="00A97DD6"/>
    <w:rsid w:val="00AA1294"/>
    <w:rsid w:val="00AB3154"/>
    <w:rsid w:val="00AB67BF"/>
    <w:rsid w:val="00AC5474"/>
    <w:rsid w:val="00AC6A80"/>
    <w:rsid w:val="00AD3310"/>
    <w:rsid w:val="00AD519C"/>
    <w:rsid w:val="00AD5E16"/>
    <w:rsid w:val="00AD7CBD"/>
    <w:rsid w:val="00AE0165"/>
    <w:rsid w:val="00AE2F93"/>
    <w:rsid w:val="00AE4DAE"/>
    <w:rsid w:val="00AE709D"/>
    <w:rsid w:val="00AE73A1"/>
    <w:rsid w:val="00AF42AE"/>
    <w:rsid w:val="00B05D28"/>
    <w:rsid w:val="00B101C2"/>
    <w:rsid w:val="00B11EF8"/>
    <w:rsid w:val="00B149EA"/>
    <w:rsid w:val="00B4063F"/>
    <w:rsid w:val="00B640A7"/>
    <w:rsid w:val="00B7264B"/>
    <w:rsid w:val="00B74685"/>
    <w:rsid w:val="00B81FC1"/>
    <w:rsid w:val="00B8570A"/>
    <w:rsid w:val="00B960DA"/>
    <w:rsid w:val="00BA0EF4"/>
    <w:rsid w:val="00BA1783"/>
    <w:rsid w:val="00BA4885"/>
    <w:rsid w:val="00BB2D73"/>
    <w:rsid w:val="00BB5F9F"/>
    <w:rsid w:val="00BB789A"/>
    <w:rsid w:val="00BC2827"/>
    <w:rsid w:val="00BC7582"/>
    <w:rsid w:val="00BD1639"/>
    <w:rsid w:val="00BE14E6"/>
    <w:rsid w:val="00BF76ED"/>
    <w:rsid w:val="00C054BA"/>
    <w:rsid w:val="00C071B4"/>
    <w:rsid w:val="00C115E3"/>
    <w:rsid w:val="00C20AA4"/>
    <w:rsid w:val="00C35712"/>
    <w:rsid w:val="00C41A9D"/>
    <w:rsid w:val="00C44624"/>
    <w:rsid w:val="00C46D6A"/>
    <w:rsid w:val="00C51B04"/>
    <w:rsid w:val="00C51BFA"/>
    <w:rsid w:val="00C552D4"/>
    <w:rsid w:val="00C56C58"/>
    <w:rsid w:val="00C56D52"/>
    <w:rsid w:val="00C56D92"/>
    <w:rsid w:val="00C5743C"/>
    <w:rsid w:val="00C620C5"/>
    <w:rsid w:val="00C6374F"/>
    <w:rsid w:val="00C65586"/>
    <w:rsid w:val="00C65603"/>
    <w:rsid w:val="00C72899"/>
    <w:rsid w:val="00C73EEB"/>
    <w:rsid w:val="00C75A1B"/>
    <w:rsid w:val="00C82604"/>
    <w:rsid w:val="00C82E9C"/>
    <w:rsid w:val="00C84538"/>
    <w:rsid w:val="00C85F20"/>
    <w:rsid w:val="00CA0F5B"/>
    <w:rsid w:val="00CA3503"/>
    <w:rsid w:val="00CA5D42"/>
    <w:rsid w:val="00CA7906"/>
    <w:rsid w:val="00CB27DB"/>
    <w:rsid w:val="00CB6FF9"/>
    <w:rsid w:val="00CB7801"/>
    <w:rsid w:val="00CC222E"/>
    <w:rsid w:val="00CC2FFD"/>
    <w:rsid w:val="00CC68A1"/>
    <w:rsid w:val="00CD0B49"/>
    <w:rsid w:val="00CD2EE6"/>
    <w:rsid w:val="00CD5118"/>
    <w:rsid w:val="00CD5898"/>
    <w:rsid w:val="00CE07FD"/>
    <w:rsid w:val="00CE72FF"/>
    <w:rsid w:val="00CF1F3B"/>
    <w:rsid w:val="00CF4FA4"/>
    <w:rsid w:val="00D00F45"/>
    <w:rsid w:val="00D02016"/>
    <w:rsid w:val="00D05B33"/>
    <w:rsid w:val="00D0601B"/>
    <w:rsid w:val="00D22345"/>
    <w:rsid w:val="00D378A2"/>
    <w:rsid w:val="00D50B62"/>
    <w:rsid w:val="00D5307A"/>
    <w:rsid w:val="00D629F9"/>
    <w:rsid w:val="00D64178"/>
    <w:rsid w:val="00D6491D"/>
    <w:rsid w:val="00D72630"/>
    <w:rsid w:val="00D72CD7"/>
    <w:rsid w:val="00D8239D"/>
    <w:rsid w:val="00D824EF"/>
    <w:rsid w:val="00D90CB0"/>
    <w:rsid w:val="00D914E5"/>
    <w:rsid w:val="00D972F1"/>
    <w:rsid w:val="00DB74D8"/>
    <w:rsid w:val="00DB7A1C"/>
    <w:rsid w:val="00DC3C7F"/>
    <w:rsid w:val="00DC3DA7"/>
    <w:rsid w:val="00DC5CD4"/>
    <w:rsid w:val="00DD0E91"/>
    <w:rsid w:val="00DD27A4"/>
    <w:rsid w:val="00DD4D32"/>
    <w:rsid w:val="00DD6501"/>
    <w:rsid w:val="00DE762B"/>
    <w:rsid w:val="00DF08A1"/>
    <w:rsid w:val="00DF4644"/>
    <w:rsid w:val="00DF7307"/>
    <w:rsid w:val="00E02CF9"/>
    <w:rsid w:val="00E11A3F"/>
    <w:rsid w:val="00E12816"/>
    <w:rsid w:val="00E51682"/>
    <w:rsid w:val="00E520EC"/>
    <w:rsid w:val="00E52B7D"/>
    <w:rsid w:val="00E55201"/>
    <w:rsid w:val="00E57FEA"/>
    <w:rsid w:val="00E61B49"/>
    <w:rsid w:val="00E6548A"/>
    <w:rsid w:val="00E71697"/>
    <w:rsid w:val="00E74120"/>
    <w:rsid w:val="00E77E00"/>
    <w:rsid w:val="00E90014"/>
    <w:rsid w:val="00EB06F6"/>
    <w:rsid w:val="00EB07BB"/>
    <w:rsid w:val="00EB3228"/>
    <w:rsid w:val="00EC180B"/>
    <w:rsid w:val="00EC3014"/>
    <w:rsid w:val="00EC3311"/>
    <w:rsid w:val="00ED4E4D"/>
    <w:rsid w:val="00ED5757"/>
    <w:rsid w:val="00EE00D0"/>
    <w:rsid w:val="00EE18EC"/>
    <w:rsid w:val="00EE6572"/>
    <w:rsid w:val="00EF0A53"/>
    <w:rsid w:val="00EF4F20"/>
    <w:rsid w:val="00EF715D"/>
    <w:rsid w:val="00EF7F46"/>
    <w:rsid w:val="00F02FDF"/>
    <w:rsid w:val="00F0685A"/>
    <w:rsid w:val="00F0764C"/>
    <w:rsid w:val="00F118B8"/>
    <w:rsid w:val="00F2146B"/>
    <w:rsid w:val="00F21B88"/>
    <w:rsid w:val="00F24DE3"/>
    <w:rsid w:val="00F26E34"/>
    <w:rsid w:val="00F36F85"/>
    <w:rsid w:val="00F379E5"/>
    <w:rsid w:val="00F43B3A"/>
    <w:rsid w:val="00F44870"/>
    <w:rsid w:val="00F51084"/>
    <w:rsid w:val="00F56F36"/>
    <w:rsid w:val="00F62C30"/>
    <w:rsid w:val="00F62F80"/>
    <w:rsid w:val="00F649E7"/>
    <w:rsid w:val="00F67680"/>
    <w:rsid w:val="00F8056B"/>
    <w:rsid w:val="00F85183"/>
    <w:rsid w:val="00F85447"/>
    <w:rsid w:val="00F857F7"/>
    <w:rsid w:val="00F86DBB"/>
    <w:rsid w:val="00F93ADB"/>
    <w:rsid w:val="00FB1F7E"/>
    <w:rsid w:val="00FB2420"/>
    <w:rsid w:val="00FC192D"/>
    <w:rsid w:val="00FC19AD"/>
    <w:rsid w:val="00FC73F4"/>
    <w:rsid w:val="00FD26E4"/>
    <w:rsid w:val="00FD4F35"/>
    <w:rsid w:val="00FE2A4C"/>
    <w:rsid w:val="00FE5332"/>
    <w:rsid w:val="00FE549A"/>
    <w:rsid w:val="00FE742C"/>
    <w:rsid w:val="00FF62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E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2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1B"/>
    <w:pPr>
      <w:ind w:left="720"/>
      <w:contextualSpacing/>
    </w:pPr>
    <w:rPr>
      <w:rFonts w:asciiTheme="minorHAnsi" w:hAnsiTheme="minorHAnsi" w:cstheme="minorBidi"/>
    </w:rPr>
  </w:style>
  <w:style w:type="table" w:styleId="TableGrid">
    <w:name w:val="Table Grid"/>
    <w:basedOn w:val="TableNormal"/>
    <w:uiPriority w:val="39"/>
    <w:rsid w:val="00FE5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5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0294">
      <w:bodyDiv w:val="1"/>
      <w:marLeft w:val="0"/>
      <w:marRight w:val="0"/>
      <w:marTop w:val="0"/>
      <w:marBottom w:val="0"/>
      <w:divBdr>
        <w:top w:val="none" w:sz="0" w:space="0" w:color="auto"/>
        <w:left w:val="none" w:sz="0" w:space="0" w:color="auto"/>
        <w:bottom w:val="none" w:sz="0" w:space="0" w:color="auto"/>
        <w:right w:val="none" w:sz="0" w:space="0" w:color="auto"/>
      </w:divBdr>
    </w:div>
    <w:div w:id="1851095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5</Pages>
  <Words>1044</Words>
  <Characters>5956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156</cp:revision>
  <dcterms:created xsi:type="dcterms:W3CDTF">2017-06-05T11:55:00Z</dcterms:created>
  <dcterms:modified xsi:type="dcterms:W3CDTF">2017-08-02T13:45:00Z</dcterms:modified>
</cp:coreProperties>
</file>