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F63C" w14:textId="77777777" w:rsidR="00582B20" w:rsidRPr="00A03269" w:rsidRDefault="006626C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3269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1</w:t>
      </w:r>
    </w:p>
    <w:p w14:paraId="5E4D387B" w14:textId="77777777" w:rsidR="00582B20" w:rsidRPr="00A03269" w:rsidRDefault="006626C2">
      <w:pPr>
        <w:rPr>
          <w:b/>
          <w:bCs/>
        </w:rPr>
      </w:pPr>
      <w:r w:rsidRPr="00A032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1A - Coding information </w:t>
      </w:r>
    </w:p>
    <w:tbl>
      <w:tblPr>
        <w:tblStyle w:val="a3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3735"/>
        <w:gridCol w:w="3255"/>
      </w:tblGrid>
      <w:tr w:rsidR="00582B20" w:rsidRPr="00A03269" w14:paraId="77B1A5F1" w14:textId="77777777" w:rsidTr="00D11E99">
        <w:trPr>
          <w:trHeight w:val="20"/>
        </w:trPr>
        <w:tc>
          <w:tcPr>
            <w:tcW w:w="2025" w:type="dxa"/>
          </w:tcPr>
          <w:p w14:paraId="537CBAF9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Coding Variable</w:t>
            </w:r>
          </w:p>
        </w:tc>
        <w:tc>
          <w:tcPr>
            <w:tcW w:w="3735" w:type="dxa"/>
          </w:tcPr>
          <w:p w14:paraId="731DB8B2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Categories</w:t>
            </w:r>
          </w:p>
        </w:tc>
        <w:tc>
          <w:tcPr>
            <w:tcW w:w="3255" w:type="dxa"/>
          </w:tcPr>
          <w:p w14:paraId="5643877D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Description (Example)</w:t>
            </w:r>
          </w:p>
        </w:tc>
      </w:tr>
      <w:tr w:rsidR="00582B20" w:rsidRPr="00A03269" w14:paraId="4C2186A5" w14:textId="77777777" w:rsidTr="00D11E99">
        <w:trPr>
          <w:trHeight w:val="20"/>
        </w:trPr>
        <w:tc>
          <w:tcPr>
            <w:tcW w:w="2025" w:type="dxa"/>
          </w:tcPr>
          <w:p w14:paraId="7537FF17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Variable ID</w:t>
            </w:r>
          </w:p>
        </w:tc>
        <w:tc>
          <w:tcPr>
            <w:tcW w:w="3735" w:type="dxa"/>
          </w:tcPr>
          <w:p w14:paraId="00420EF8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Unique identifier</w:t>
            </w:r>
          </w:p>
        </w:tc>
        <w:tc>
          <w:tcPr>
            <w:tcW w:w="3255" w:type="dxa"/>
          </w:tcPr>
          <w:p w14:paraId="0144EC15" w14:textId="77777777" w:rsidR="00582B20" w:rsidRPr="00A03269" w:rsidRDefault="006626C2" w:rsidP="00D11E99">
            <w:pPr>
              <w:keepLines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Proced31</w:t>
            </w:r>
          </w:p>
        </w:tc>
      </w:tr>
      <w:tr w:rsidR="00582B20" w:rsidRPr="00A03269" w14:paraId="5D4C7804" w14:textId="77777777" w:rsidTr="00D11E99">
        <w:trPr>
          <w:trHeight w:val="20"/>
        </w:trPr>
        <w:tc>
          <w:tcPr>
            <w:tcW w:w="2025" w:type="dxa"/>
          </w:tcPr>
          <w:p w14:paraId="3D3745D0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Author</w:t>
            </w:r>
          </w:p>
        </w:tc>
        <w:tc>
          <w:tcPr>
            <w:tcW w:w="3735" w:type="dxa"/>
          </w:tcPr>
          <w:p w14:paraId="0C7E21DE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 text</w:t>
            </w:r>
          </w:p>
        </w:tc>
        <w:tc>
          <w:tcPr>
            <w:tcW w:w="3255" w:type="dxa"/>
          </w:tcPr>
          <w:p w14:paraId="5DE60B4D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Quaye J.</w:t>
            </w:r>
          </w:p>
        </w:tc>
      </w:tr>
      <w:tr w:rsidR="00582B20" w:rsidRPr="00A03269" w14:paraId="1D40BFF0" w14:textId="77777777" w:rsidTr="00D11E99">
        <w:trPr>
          <w:trHeight w:val="20"/>
        </w:trPr>
        <w:tc>
          <w:tcPr>
            <w:tcW w:w="2025" w:type="dxa"/>
          </w:tcPr>
          <w:p w14:paraId="59A512A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3735" w:type="dxa"/>
          </w:tcPr>
          <w:p w14:paraId="2CC8C13F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Four-digit year</w:t>
            </w:r>
          </w:p>
        </w:tc>
        <w:tc>
          <w:tcPr>
            <w:tcW w:w="3255" w:type="dxa"/>
          </w:tcPr>
          <w:p w14:paraId="2CAA530C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2014</w:t>
            </w:r>
          </w:p>
        </w:tc>
      </w:tr>
      <w:tr w:rsidR="00582B20" w:rsidRPr="00A03269" w14:paraId="0776721A" w14:textId="77777777" w:rsidTr="00D11E99">
        <w:trPr>
          <w:trHeight w:val="20"/>
        </w:trPr>
        <w:tc>
          <w:tcPr>
            <w:tcW w:w="2025" w:type="dxa"/>
          </w:tcPr>
          <w:p w14:paraId="5810261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Country of study</w:t>
            </w:r>
          </w:p>
        </w:tc>
        <w:tc>
          <w:tcPr>
            <w:tcW w:w="3735" w:type="dxa"/>
          </w:tcPr>
          <w:p w14:paraId="7E921A44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 text; multiple countries permitted</w:t>
            </w:r>
          </w:p>
        </w:tc>
        <w:tc>
          <w:tcPr>
            <w:tcW w:w="3255" w:type="dxa"/>
          </w:tcPr>
          <w:p w14:paraId="4606A1B5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England</w:t>
            </w:r>
          </w:p>
        </w:tc>
      </w:tr>
      <w:tr w:rsidR="00582B20" w:rsidRPr="00A03269" w14:paraId="330FCEA7" w14:textId="77777777" w:rsidTr="00D11E99">
        <w:trPr>
          <w:trHeight w:val="20"/>
        </w:trPr>
        <w:tc>
          <w:tcPr>
            <w:tcW w:w="2025" w:type="dxa"/>
          </w:tcPr>
          <w:p w14:paraId="6603FEA6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Study Design</w:t>
            </w:r>
          </w:p>
        </w:tc>
        <w:tc>
          <w:tcPr>
            <w:tcW w:w="3735" w:type="dxa"/>
          </w:tcPr>
          <w:p w14:paraId="424D10C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Empirical (full study/pilot/current report); conceptual/textual analysis</w:t>
            </w:r>
          </w:p>
        </w:tc>
        <w:tc>
          <w:tcPr>
            <w:tcW w:w="3255" w:type="dxa"/>
          </w:tcPr>
          <w:p w14:paraId="21898068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Empirical current report</w:t>
            </w:r>
          </w:p>
        </w:tc>
      </w:tr>
      <w:tr w:rsidR="00582B20" w:rsidRPr="00A03269" w14:paraId="261DCC85" w14:textId="77777777" w:rsidTr="00D11E99">
        <w:trPr>
          <w:trHeight w:val="20"/>
        </w:trPr>
        <w:tc>
          <w:tcPr>
            <w:tcW w:w="2025" w:type="dxa"/>
          </w:tcPr>
          <w:p w14:paraId="0077B15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Sample Group</w:t>
            </w:r>
          </w:p>
        </w:tc>
        <w:tc>
          <w:tcPr>
            <w:tcW w:w="3735" w:type="dxa"/>
          </w:tcPr>
          <w:p w14:paraId="0ADB13D3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Students (School/college/university); Teachers</w:t>
            </w:r>
          </w:p>
          <w:p w14:paraId="1194487E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Other [with open text]</w:t>
            </w:r>
          </w:p>
        </w:tc>
        <w:tc>
          <w:tcPr>
            <w:tcW w:w="3255" w:type="dxa"/>
          </w:tcPr>
          <w:p w14:paraId="00ADC9A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Students</w:t>
            </w:r>
          </w:p>
        </w:tc>
      </w:tr>
      <w:tr w:rsidR="00582B20" w:rsidRPr="00A03269" w14:paraId="6403E87C" w14:textId="77777777" w:rsidTr="00D11E99">
        <w:trPr>
          <w:trHeight w:val="20"/>
        </w:trPr>
        <w:tc>
          <w:tcPr>
            <w:tcW w:w="2025" w:type="dxa"/>
          </w:tcPr>
          <w:p w14:paraId="603BD90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Educational Stage</w:t>
            </w:r>
          </w:p>
        </w:tc>
        <w:tc>
          <w:tcPr>
            <w:tcW w:w="3735" w:type="dxa"/>
          </w:tcPr>
          <w:p w14:paraId="7301D2E8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Primary; secondary; post-16; higher education; teacher education; other [with open text]</w:t>
            </w:r>
          </w:p>
        </w:tc>
        <w:tc>
          <w:tcPr>
            <w:tcW w:w="3255" w:type="dxa"/>
          </w:tcPr>
          <w:p w14:paraId="280507AB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Secondary</w:t>
            </w:r>
          </w:p>
        </w:tc>
      </w:tr>
      <w:tr w:rsidR="00582B20" w:rsidRPr="00A03269" w14:paraId="389BA551" w14:textId="77777777" w:rsidTr="00D11E99">
        <w:trPr>
          <w:trHeight w:val="20"/>
        </w:trPr>
        <w:tc>
          <w:tcPr>
            <w:tcW w:w="2025" w:type="dxa"/>
          </w:tcPr>
          <w:p w14:paraId="04FAD430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Key Aim</w:t>
            </w:r>
          </w:p>
        </w:tc>
        <w:tc>
          <w:tcPr>
            <w:tcW w:w="3735" w:type="dxa"/>
          </w:tcPr>
          <w:p w14:paraId="25AAE19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 text</w:t>
            </w:r>
          </w:p>
        </w:tc>
        <w:tc>
          <w:tcPr>
            <w:tcW w:w="3255" w:type="dxa"/>
          </w:tcPr>
          <w:p w14:paraId="279C775B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To examine how social class gender ethnicity attitudes cultural capital and habitus relate to mathematical achievement in secondary schools. math learning</w:t>
            </w:r>
          </w:p>
        </w:tc>
      </w:tr>
      <w:tr w:rsidR="00582B20" w:rsidRPr="00A03269" w14:paraId="126257F7" w14:textId="77777777" w:rsidTr="00D11E99">
        <w:trPr>
          <w:trHeight w:val="20"/>
        </w:trPr>
        <w:tc>
          <w:tcPr>
            <w:tcW w:w="2025" w:type="dxa"/>
          </w:tcPr>
          <w:p w14:paraId="4621E44D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Methodology</w:t>
            </w:r>
          </w:p>
        </w:tc>
        <w:tc>
          <w:tcPr>
            <w:tcW w:w="3735" w:type="dxa"/>
          </w:tcPr>
          <w:p w14:paraId="1D402994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Quantitative; qualitative; mixed methods; not applicable</w:t>
            </w:r>
          </w:p>
        </w:tc>
        <w:tc>
          <w:tcPr>
            <w:tcW w:w="3255" w:type="dxa"/>
          </w:tcPr>
          <w:p w14:paraId="4187D0CE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Quantitative</w:t>
            </w:r>
          </w:p>
        </w:tc>
      </w:tr>
      <w:tr w:rsidR="00582B20" w:rsidRPr="00A03269" w14:paraId="13CB9A15" w14:textId="77777777" w:rsidTr="00D11E99">
        <w:trPr>
          <w:trHeight w:val="20"/>
        </w:trPr>
        <w:tc>
          <w:tcPr>
            <w:tcW w:w="2025" w:type="dxa"/>
          </w:tcPr>
          <w:p w14:paraId="61D54C23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Study approach</w:t>
            </w:r>
          </w:p>
        </w:tc>
        <w:tc>
          <w:tcPr>
            <w:tcW w:w="3735" w:type="dxa"/>
          </w:tcPr>
          <w:p w14:paraId="4ED6B76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Multiple categories permitted</w:t>
            </w:r>
          </w:p>
          <w:p w14:paraId="1E46B859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Survey/questionnaire; interview/focus group; observation; experiment/intervention; case study; action research; Other [open text]</w:t>
            </w:r>
          </w:p>
        </w:tc>
        <w:tc>
          <w:tcPr>
            <w:tcW w:w="3255" w:type="dxa"/>
          </w:tcPr>
          <w:p w14:paraId="1A1ADE3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Survey</w:t>
            </w:r>
          </w:p>
        </w:tc>
      </w:tr>
      <w:tr w:rsidR="00582B20" w:rsidRPr="00A03269" w14:paraId="3C987A22" w14:textId="77777777" w:rsidTr="00D11E99">
        <w:trPr>
          <w:trHeight w:val="20"/>
        </w:trPr>
        <w:tc>
          <w:tcPr>
            <w:tcW w:w="2025" w:type="dxa"/>
          </w:tcPr>
          <w:p w14:paraId="04E2D0A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Gender focus</w:t>
            </w:r>
          </w:p>
        </w:tc>
        <w:tc>
          <w:tcPr>
            <w:tcW w:w="3735" w:type="dxa"/>
          </w:tcPr>
          <w:p w14:paraId="0C6B52EA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 text</w:t>
            </w:r>
          </w:p>
        </w:tc>
        <w:tc>
          <w:tcPr>
            <w:tcW w:w="3255" w:type="dxa"/>
          </w:tcPr>
          <w:p w14:paraId="0C588FFC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Mathematics attitudes and GCSE attainment</w:t>
            </w:r>
          </w:p>
        </w:tc>
      </w:tr>
      <w:tr w:rsidR="00582B20" w:rsidRPr="00A03269" w14:paraId="504027EE" w14:textId="77777777" w:rsidTr="00D11E99">
        <w:trPr>
          <w:trHeight w:val="20"/>
        </w:trPr>
        <w:tc>
          <w:tcPr>
            <w:tcW w:w="2025" w:type="dxa"/>
          </w:tcPr>
          <w:p w14:paraId="40923E0C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Sample size All</w:t>
            </w:r>
          </w:p>
        </w:tc>
        <w:tc>
          <w:tcPr>
            <w:tcW w:w="3735" w:type="dxa"/>
          </w:tcPr>
          <w:p w14:paraId="45632814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Numeric; not reported/not applicable</w:t>
            </w:r>
          </w:p>
        </w:tc>
        <w:tc>
          <w:tcPr>
            <w:tcW w:w="3255" w:type="dxa"/>
          </w:tcPr>
          <w:p w14:paraId="08055951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1106</w:t>
            </w:r>
          </w:p>
        </w:tc>
      </w:tr>
      <w:tr w:rsidR="00582B20" w:rsidRPr="00A03269" w14:paraId="2F7580BB" w14:textId="77777777" w:rsidTr="00D11E99">
        <w:trPr>
          <w:trHeight w:val="20"/>
        </w:trPr>
        <w:tc>
          <w:tcPr>
            <w:tcW w:w="2025" w:type="dxa"/>
          </w:tcPr>
          <w:p w14:paraId="4848B57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Sample size M</w:t>
            </w:r>
          </w:p>
        </w:tc>
        <w:tc>
          <w:tcPr>
            <w:tcW w:w="3735" w:type="dxa"/>
          </w:tcPr>
          <w:p w14:paraId="2865A40B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Numeric; not reported/not applicable</w:t>
            </w:r>
          </w:p>
        </w:tc>
        <w:tc>
          <w:tcPr>
            <w:tcW w:w="3255" w:type="dxa"/>
          </w:tcPr>
          <w:p w14:paraId="5E52F45D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Not reported</w:t>
            </w:r>
          </w:p>
        </w:tc>
      </w:tr>
      <w:tr w:rsidR="00582B20" w:rsidRPr="00A03269" w14:paraId="3C84B56B" w14:textId="77777777" w:rsidTr="00D11E99">
        <w:trPr>
          <w:trHeight w:val="20"/>
        </w:trPr>
        <w:tc>
          <w:tcPr>
            <w:tcW w:w="2025" w:type="dxa"/>
          </w:tcPr>
          <w:p w14:paraId="49D863D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Sample size F</w:t>
            </w:r>
          </w:p>
        </w:tc>
        <w:tc>
          <w:tcPr>
            <w:tcW w:w="3735" w:type="dxa"/>
          </w:tcPr>
          <w:p w14:paraId="0D7A399F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Numeric; not reported/not applicable</w:t>
            </w:r>
          </w:p>
        </w:tc>
        <w:tc>
          <w:tcPr>
            <w:tcW w:w="3255" w:type="dxa"/>
          </w:tcPr>
          <w:p w14:paraId="2501436F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Not reported</w:t>
            </w:r>
          </w:p>
        </w:tc>
      </w:tr>
      <w:tr w:rsidR="00582B20" w:rsidRPr="00A03269" w14:paraId="1C8C9C80" w14:textId="77777777" w:rsidTr="00D11E99">
        <w:trPr>
          <w:trHeight w:val="20"/>
        </w:trPr>
        <w:tc>
          <w:tcPr>
            <w:tcW w:w="2025" w:type="dxa"/>
          </w:tcPr>
          <w:p w14:paraId="4A309746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Analytical Approach Quant</w:t>
            </w:r>
          </w:p>
        </w:tc>
        <w:tc>
          <w:tcPr>
            <w:tcW w:w="3735" w:type="dxa"/>
          </w:tcPr>
          <w:p w14:paraId="4528244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Descriptive; group comparisons; correlation; regression; factor analysis/PCA; ANOVA/ANCOVA; Rasch measurement/DIF; other. Multiple categories permitted</w:t>
            </w:r>
          </w:p>
        </w:tc>
        <w:tc>
          <w:tcPr>
            <w:tcW w:w="3255" w:type="dxa"/>
          </w:tcPr>
          <w:p w14:paraId="3003CAEC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ANOVA hierarchical regression correlation</w:t>
            </w:r>
          </w:p>
        </w:tc>
      </w:tr>
      <w:tr w:rsidR="00582B20" w:rsidRPr="00A03269" w14:paraId="48CC4772" w14:textId="77777777" w:rsidTr="00D11E99">
        <w:trPr>
          <w:trHeight w:val="20"/>
        </w:trPr>
        <w:tc>
          <w:tcPr>
            <w:tcW w:w="2025" w:type="dxa"/>
          </w:tcPr>
          <w:p w14:paraId="595C890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Analytical Approach Qualitative</w:t>
            </w:r>
          </w:p>
        </w:tc>
        <w:tc>
          <w:tcPr>
            <w:tcW w:w="3735" w:type="dxa"/>
          </w:tcPr>
          <w:p w14:paraId="4E01CA0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 xml:space="preserve">Thematic; discourse;narrative analysis; grounded theory; descriptive; other [open text] </w:t>
            </w:r>
          </w:p>
          <w:p w14:paraId="35B04B61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Multiple categories permitted</w:t>
            </w:r>
          </w:p>
        </w:tc>
        <w:tc>
          <w:tcPr>
            <w:tcW w:w="3255" w:type="dxa"/>
          </w:tcPr>
          <w:p w14:paraId="4748A41A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Not applicable</w:t>
            </w:r>
          </w:p>
        </w:tc>
      </w:tr>
      <w:tr w:rsidR="00582B20" w:rsidRPr="00A03269" w14:paraId="1301BFFF" w14:textId="77777777" w:rsidTr="00D11E99">
        <w:trPr>
          <w:trHeight w:val="20"/>
        </w:trPr>
        <w:tc>
          <w:tcPr>
            <w:tcW w:w="2025" w:type="dxa"/>
          </w:tcPr>
          <w:p w14:paraId="5FDDBDA0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Broad Theme</w:t>
            </w:r>
          </w:p>
        </w:tc>
        <w:tc>
          <w:tcPr>
            <w:tcW w:w="3735" w:type="dxa"/>
          </w:tcPr>
          <w:p w14:paraId="58C07B7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 coding [eventually converged to the themes]</w:t>
            </w:r>
          </w:p>
        </w:tc>
        <w:tc>
          <w:tcPr>
            <w:tcW w:w="3255" w:type="dxa"/>
          </w:tcPr>
          <w:p w14:paraId="6B4D63FD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Attainment Affect Intersectionality</w:t>
            </w:r>
          </w:p>
        </w:tc>
      </w:tr>
      <w:tr w:rsidR="00582B20" w:rsidRPr="00A03269" w14:paraId="3C31FB93" w14:textId="77777777" w:rsidTr="00D11E99">
        <w:trPr>
          <w:trHeight w:val="20"/>
        </w:trPr>
        <w:tc>
          <w:tcPr>
            <w:tcW w:w="2025" w:type="dxa"/>
          </w:tcPr>
          <w:p w14:paraId="452F6072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Intersectionality</w:t>
            </w:r>
          </w:p>
        </w:tc>
        <w:tc>
          <w:tcPr>
            <w:tcW w:w="3735" w:type="dxa"/>
          </w:tcPr>
          <w:p w14:paraId="4593C1D7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Class/SES; ethnicity/race; language; sexuality; disability/neurodiversity; other [open text]</w:t>
            </w:r>
          </w:p>
          <w:p w14:paraId="5080396F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Multiple categories permitted</w:t>
            </w:r>
          </w:p>
        </w:tc>
        <w:tc>
          <w:tcPr>
            <w:tcW w:w="3255" w:type="dxa"/>
          </w:tcPr>
          <w:p w14:paraId="6228397B" w14:textId="77777777" w:rsidR="00582B20" w:rsidRPr="00A03269" w:rsidRDefault="006626C2" w:rsidP="00D11E99">
            <w:pPr>
              <w:keepLines/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Class/SES Ethnicity/Race</w:t>
            </w:r>
          </w:p>
        </w:tc>
      </w:tr>
      <w:tr w:rsidR="00582B20" w:rsidRPr="00A03269" w14:paraId="398F5381" w14:textId="77777777" w:rsidTr="00D11E99">
        <w:trPr>
          <w:trHeight w:val="20"/>
        </w:trPr>
        <w:tc>
          <w:tcPr>
            <w:tcW w:w="2025" w:type="dxa"/>
          </w:tcPr>
          <w:p w14:paraId="648D12B6" w14:textId="77777777" w:rsidR="00582B20" w:rsidRPr="00A03269" w:rsidRDefault="006626C2" w:rsidP="00D11E9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Key finding (For gender)</w:t>
            </w:r>
          </w:p>
        </w:tc>
        <w:tc>
          <w:tcPr>
            <w:tcW w:w="3735" w:type="dxa"/>
          </w:tcPr>
          <w:p w14:paraId="1313C7EE" w14:textId="77777777" w:rsidR="00582B20" w:rsidRPr="00A03269" w:rsidRDefault="006626C2" w:rsidP="00D11E9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Open-text summary</w:t>
            </w:r>
          </w:p>
        </w:tc>
        <w:tc>
          <w:tcPr>
            <w:tcW w:w="3255" w:type="dxa"/>
          </w:tcPr>
          <w:p w14:paraId="78E9B9F1" w14:textId="77777777" w:rsidR="00582B20" w:rsidRPr="00A03269" w:rsidRDefault="006626C2" w:rsidP="00D11E9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3269">
              <w:rPr>
                <w:rFonts w:ascii="Times New Roman" w:hAnsi="Times New Roman" w:cs="Times New Roman"/>
                <w:sz w:val="20"/>
                <w:szCs w:val="20"/>
              </w:rPr>
              <w:t>Gender was analysed alongside social class and ethnicity. The principal reported differences concerned social class and habitus rather than an independent gender effect.</w:t>
            </w:r>
          </w:p>
        </w:tc>
      </w:tr>
    </w:tbl>
    <w:p w14:paraId="4A834691" w14:textId="77777777" w:rsidR="00582B20" w:rsidRPr="00A03269" w:rsidRDefault="00582B2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582B20" w:rsidRPr="00A032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3146" w14:textId="77777777" w:rsidR="005E4514" w:rsidRPr="00A03269" w:rsidRDefault="005E4514">
      <w:pPr>
        <w:spacing w:line="240" w:lineRule="auto"/>
      </w:pPr>
      <w:r w:rsidRPr="00A03269">
        <w:separator/>
      </w:r>
    </w:p>
  </w:endnote>
  <w:endnote w:type="continuationSeparator" w:id="0">
    <w:p w14:paraId="4C68460D" w14:textId="77777777" w:rsidR="005E4514" w:rsidRPr="00A03269" w:rsidRDefault="005E4514">
      <w:pPr>
        <w:spacing w:line="240" w:lineRule="auto"/>
      </w:pPr>
      <w:r w:rsidRPr="00A032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1469" w14:textId="77777777" w:rsidR="00582B20" w:rsidRPr="00A03269" w:rsidRDefault="006626C2">
    <w:pPr>
      <w:jc w:val="right"/>
    </w:pPr>
    <w:r w:rsidRPr="00A03269">
      <w:fldChar w:fldCharType="begin"/>
    </w:r>
    <w:r w:rsidRPr="00A03269">
      <w:instrText>PAGE</w:instrText>
    </w:r>
    <w:r w:rsidRPr="00A03269">
      <w:fldChar w:fldCharType="separate"/>
    </w:r>
    <w:r w:rsidR="004F443A" w:rsidRPr="00A03269">
      <w:t>1</w:t>
    </w:r>
    <w:r w:rsidRPr="00A0326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A31C" w14:textId="21CC3AFD" w:rsidR="00582B20" w:rsidRPr="00A03269" w:rsidRDefault="006626C2">
    <w:pPr>
      <w:jc w:val="right"/>
    </w:pPr>
    <w:r w:rsidRPr="00A03269">
      <w:fldChar w:fldCharType="begin"/>
    </w:r>
    <w:r w:rsidRPr="00A03269">
      <w:instrText>PAGE</w:instrText>
    </w:r>
    <w:r w:rsidRPr="00A03269">
      <w:fldChar w:fldCharType="separate"/>
    </w:r>
    <w:r w:rsidR="004F443A" w:rsidRPr="00A03269">
      <w:t>2</w:t>
    </w:r>
    <w:r w:rsidRPr="00A03269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5A3FA" w14:textId="77777777" w:rsidR="00582B20" w:rsidRPr="00A03269" w:rsidRDefault="00582B20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EE4E" w14:textId="77777777" w:rsidR="00582B20" w:rsidRPr="00A03269" w:rsidRDefault="00582B20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D8F18" w14:textId="77777777" w:rsidR="005E4514" w:rsidRPr="00A03269" w:rsidRDefault="005E4514">
      <w:pPr>
        <w:spacing w:line="240" w:lineRule="auto"/>
      </w:pPr>
      <w:r w:rsidRPr="00A03269">
        <w:separator/>
      </w:r>
    </w:p>
  </w:footnote>
  <w:footnote w:type="continuationSeparator" w:id="0">
    <w:p w14:paraId="3AB9998C" w14:textId="77777777" w:rsidR="005E4514" w:rsidRPr="00A03269" w:rsidRDefault="005E4514">
      <w:pPr>
        <w:spacing w:line="240" w:lineRule="auto"/>
      </w:pPr>
      <w:r w:rsidRPr="00A03269">
        <w:continuationSeparator/>
      </w:r>
    </w:p>
  </w:footnote>
  <w:footnote w:id="1">
    <w:p w14:paraId="09F02131" w14:textId="77777777" w:rsidR="00582B20" w:rsidRDefault="006626C2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3269">
        <w:rPr>
          <w:vertAlign w:val="superscript"/>
        </w:rPr>
        <w:footnoteRef/>
      </w:r>
      <w:r w:rsidRPr="00A03269">
        <w:rPr>
          <w:rFonts w:ascii="Times New Roman" w:eastAsia="Times New Roman" w:hAnsi="Times New Roman" w:cs="Times New Roman"/>
          <w:sz w:val="20"/>
          <w:szCs w:val="20"/>
        </w:rPr>
        <w:t xml:space="preserve"> Cisgender refers to individuals whose gender identity is aligned with the sex they were assigned at birth. We use this to differentiate between cis and other gender identities.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8F41" w14:textId="77777777" w:rsidR="00582B20" w:rsidRPr="00A03269" w:rsidRDefault="00582B20">
    <w:pPr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EDBB" w14:textId="77777777" w:rsidR="00582B20" w:rsidRPr="00A03269" w:rsidRDefault="00582B20">
    <w:pPr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6637" w14:textId="77777777" w:rsidR="00582B20" w:rsidRPr="00A03269" w:rsidRDefault="00582B20">
    <w:pPr>
      <w:spacing w:before="240" w:after="24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8D94" w14:textId="77777777" w:rsidR="00582B20" w:rsidRPr="00A03269" w:rsidRDefault="00582B20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2F1B" w14:textId="77777777" w:rsidR="00582B20" w:rsidRPr="00A03269" w:rsidRDefault="00582B20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2D3"/>
    <w:multiLevelType w:val="multilevel"/>
    <w:tmpl w:val="F8521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95023B"/>
    <w:multiLevelType w:val="multilevel"/>
    <w:tmpl w:val="D7242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01230062">
    <w:abstractNumId w:val="1"/>
  </w:num>
  <w:num w:numId="2" w16cid:durableId="18569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20"/>
    <w:rsid w:val="00033E1A"/>
    <w:rsid w:val="000B3061"/>
    <w:rsid w:val="000D0B7F"/>
    <w:rsid w:val="00125068"/>
    <w:rsid w:val="001F2046"/>
    <w:rsid w:val="00200447"/>
    <w:rsid w:val="002937C4"/>
    <w:rsid w:val="002C24E8"/>
    <w:rsid w:val="002E21D0"/>
    <w:rsid w:val="003001F6"/>
    <w:rsid w:val="00305E2C"/>
    <w:rsid w:val="003766DD"/>
    <w:rsid w:val="003772EF"/>
    <w:rsid w:val="00381E85"/>
    <w:rsid w:val="00392035"/>
    <w:rsid w:val="003B557A"/>
    <w:rsid w:val="003D7277"/>
    <w:rsid w:val="00426E24"/>
    <w:rsid w:val="0047527E"/>
    <w:rsid w:val="004C3A6C"/>
    <w:rsid w:val="004E7BCC"/>
    <w:rsid w:val="004F443A"/>
    <w:rsid w:val="00523164"/>
    <w:rsid w:val="00534353"/>
    <w:rsid w:val="0055032F"/>
    <w:rsid w:val="00582B20"/>
    <w:rsid w:val="005946D7"/>
    <w:rsid w:val="005D0408"/>
    <w:rsid w:val="005E4514"/>
    <w:rsid w:val="00613B61"/>
    <w:rsid w:val="00622BBC"/>
    <w:rsid w:val="006626C2"/>
    <w:rsid w:val="006D7A60"/>
    <w:rsid w:val="00781A23"/>
    <w:rsid w:val="007B3190"/>
    <w:rsid w:val="00823639"/>
    <w:rsid w:val="00856C25"/>
    <w:rsid w:val="008C6F90"/>
    <w:rsid w:val="00934081"/>
    <w:rsid w:val="00946399"/>
    <w:rsid w:val="00982660"/>
    <w:rsid w:val="00A03269"/>
    <w:rsid w:val="00A47FF1"/>
    <w:rsid w:val="00A66D44"/>
    <w:rsid w:val="00AD6C94"/>
    <w:rsid w:val="00AF352E"/>
    <w:rsid w:val="00B6645E"/>
    <w:rsid w:val="00B82311"/>
    <w:rsid w:val="00B9631A"/>
    <w:rsid w:val="00BC2133"/>
    <w:rsid w:val="00C27EE4"/>
    <w:rsid w:val="00C3390C"/>
    <w:rsid w:val="00C434E4"/>
    <w:rsid w:val="00C72D67"/>
    <w:rsid w:val="00C8249D"/>
    <w:rsid w:val="00CB2BAB"/>
    <w:rsid w:val="00CB6576"/>
    <w:rsid w:val="00CD681C"/>
    <w:rsid w:val="00D11E99"/>
    <w:rsid w:val="00D2206F"/>
    <w:rsid w:val="00D34E55"/>
    <w:rsid w:val="00D6129C"/>
    <w:rsid w:val="00D84C03"/>
    <w:rsid w:val="00D87B08"/>
    <w:rsid w:val="00E14326"/>
    <w:rsid w:val="00E34A0D"/>
    <w:rsid w:val="00EA55AD"/>
    <w:rsid w:val="00EC207B"/>
    <w:rsid w:val="00EC7403"/>
    <w:rsid w:val="00EF1C11"/>
    <w:rsid w:val="00F45B55"/>
    <w:rsid w:val="00F80E42"/>
    <w:rsid w:val="00FC485A"/>
    <w:rsid w:val="00FC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5A91"/>
  <w15:docId w15:val="{75042B32-17D8-46D7-AEF6-A2959A39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44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3A"/>
  </w:style>
  <w:style w:type="paragraph" w:styleId="Footer">
    <w:name w:val="footer"/>
    <w:basedOn w:val="Normal"/>
    <w:link w:val="FooterChar"/>
    <w:uiPriority w:val="99"/>
    <w:unhideWhenUsed/>
    <w:rsid w:val="004F44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43A"/>
  </w:style>
  <w:style w:type="paragraph" w:styleId="Revision">
    <w:name w:val="Revision"/>
    <w:hidden/>
    <w:uiPriority w:val="99"/>
    <w:semiHidden/>
    <w:rsid w:val="00982660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66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1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broken=0qEuUa" TargetMode="External"/><Relationship Id="rId18" Type="http://schemas.openxmlformats.org/officeDocument/2006/relationships/footer" Target="footer1.xml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ww.zotero.org/google-docs/?broken=0qEuUa" TargetMode="External"/><Relationship Id="rId17" Type="http://schemas.openxmlformats.org/officeDocument/2006/relationships/header" Target="header1.xm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www.jmc.org.uk/wordpress-cms/wp-content/uploads/2022/09/Briefing-for-JMC-Gender-Differences-in-Maths-JMC.pdf" TargetMode="External"/><Relationship Id="rId28" Type="http://schemas.openxmlformats.org/officeDocument/2006/relationships/header" Target="header5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hyperlink" Target="https://doi.org/10.1093/oso/9780198859987.003.0017" TargetMode="External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41</Pages>
  <Words>16300</Words>
  <Characters>104814</Characters>
  <Application>Microsoft Office Word</Application>
  <DocSecurity>0</DocSecurity>
  <Lines>2437</Lines>
  <Paragraphs>1035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Nardi (EDU - Staff)</dc:creator>
  <cp:lastModifiedBy>Maria Pampaka</cp:lastModifiedBy>
  <cp:revision>3</cp:revision>
  <dcterms:created xsi:type="dcterms:W3CDTF">2026-09-10T13:10:00Z</dcterms:created>
  <dcterms:modified xsi:type="dcterms:W3CDTF">2026-09-10T14:06:00Z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730928357</vt:i4>
  </property>
  <property fmtid="{D5CDD505-2E9C-101B-9397-08002B2CF9AE}" pid="3" name="_NewReviewCycle">
    <vt:lpwstr/>
  </property>
  <property fmtid="{D5CDD505-2E9C-101B-9397-08002B2CF9AE}" pid="4" name="_EmailSubject">
    <vt:lpwstr>BSRLM@40 Chapter 13 (Pampaka et al) 07Aug2026 &amp; Editors' Comments</vt:lpwstr>
  </property>
  <property fmtid="{D5CDD505-2E9C-101B-9397-08002B2CF9AE}" pid="5" name="_AuthorEmail">
    <vt:lpwstr>Maria.Pampaka@manchester.ac.uk</vt:lpwstr>
  </property>
  <property fmtid="{D5CDD505-2E9C-101B-9397-08002B2CF9AE}" pid="6" name="_AuthorEmailDisplayName">
    <vt:lpwstr>Maria Pampaka</vt:lpwstr>
  </property>
  <property fmtid="{D5CDD505-2E9C-101B-9397-08002B2CF9AE}" pid="7" name="_PreviousAdHocReviewCycleID">
    <vt:i4>1183151317</vt:i4>
  </property>
</Properties>
</file>