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DF41" w14:textId="77777777" w:rsidR="00582B20" w:rsidRPr="00A03269" w:rsidRDefault="006626C2">
      <w:pPr>
        <w:spacing w:after="160" w:line="256" w:lineRule="auto"/>
        <w:rPr>
          <w:rFonts w:ascii="Times New Roman" w:eastAsia="Times New Roman" w:hAnsi="Times New Roman" w:cs="Times New Roman"/>
          <w:b/>
          <w:bCs/>
          <w:sz w:val="24"/>
          <w:szCs w:val="24"/>
        </w:rPr>
      </w:pPr>
      <w:r w:rsidRPr="00A03269">
        <w:rPr>
          <w:rFonts w:ascii="Times New Roman" w:eastAsia="Times New Roman" w:hAnsi="Times New Roman" w:cs="Times New Roman"/>
          <w:sz w:val="21"/>
          <w:szCs w:val="21"/>
        </w:rPr>
        <w:lastRenderedPageBreak/>
        <w:t xml:space="preserve"> </w:t>
      </w:r>
      <w:r w:rsidRPr="00A03269">
        <w:rPr>
          <w:rFonts w:ascii="Times New Roman" w:eastAsia="Times New Roman" w:hAnsi="Times New Roman" w:cs="Times New Roman"/>
          <w:b/>
          <w:bCs/>
          <w:sz w:val="24"/>
          <w:szCs w:val="24"/>
        </w:rPr>
        <w:t>Appendix 3 - Topic modelling</w:t>
      </w:r>
    </w:p>
    <w:p w14:paraId="35F06E8C" w14:textId="77777777" w:rsidR="00582B20" w:rsidRPr="00A03269" w:rsidRDefault="006626C2">
      <w:pPr>
        <w:spacing w:after="160"/>
        <w:rPr>
          <w:rFonts w:ascii="Times New Roman" w:eastAsia="Times New Roman" w:hAnsi="Times New Roman" w:cs="Times New Roman"/>
          <w:sz w:val="24"/>
          <w:szCs w:val="24"/>
        </w:rPr>
      </w:pPr>
      <w:r w:rsidRPr="00A03269">
        <w:rPr>
          <w:rFonts w:ascii="Times New Roman" w:eastAsia="Times New Roman" w:hAnsi="Times New Roman" w:cs="Times New Roman"/>
          <w:sz w:val="24"/>
          <w:szCs w:val="24"/>
        </w:rPr>
        <w:t>Table 3A - Topic modelling results from BSRLM corpus (N=69)</w:t>
      </w:r>
    </w:p>
    <w:tbl>
      <w:tblPr>
        <w:tblStyle w:val="a5"/>
        <w:tblW w:w="14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37"/>
        <w:gridCol w:w="1559"/>
        <w:gridCol w:w="4536"/>
        <w:gridCol w:w="5993"/>
      </w:tblGrid>
      <w:tr w:rsidR="00582B20" w:rsidRPr="00A03269" w14:paraId="5E94830F" w14:textId="77777777" w:rsidTr="00D11E99">
        <w:trPr>
          <w:trHeight w:val="312"/>
        </w:trPr>
        <w:tc>
          <w:tcPr>
            <w:tcW w:w="1080" w:type="dxa"/>
            <w:tcBorders>
              <w:top w:val="single" w:sz="8" w:space="0" w:color="000000"/>
              <w:left w:val="single" w:sz="8" w:space="0" w:color="000000"/>
              <w:bottom w:val="single" w:sz="8" w:space="0" w:color="000000"/>
              <w:right w:val="single" w:sz="8" w:space="0" w:color="000000"/>
            </w:tcBorders>
          </w:tcPr>
          <w:p w14:paraId="63CDB198" w14:textId="77777777" w:rsidR="00582B20" w:rsidRPr="00A03269" w:rsidRDefault="006626C2" w:rsidP="00D11E99">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Topic</w:t>
            </w:r>
          </w:p>
        </w:tc>
        <w:tc>
          <w:tcPr>
            <w:tcW w:w="1037" w:type="dxa"/>
            <w:tcBorders>
              <w:top w:val="single" w:sz="8" w:space="0" w:color="000000"/>
              <w:left w:val="single" w:sz="8" w:space="0" w:color="000000"/>
              <w:bottom w:val="single" w:sz="8" w:space="0" w:color="000000"/>
              <w:right w:val="single" w:sz="8" w:space="0" w:color="000000"/>
            </w:tcBorders>
          </w:tcPr>
          <w:p w14:paraId="65231205" w14:textId="77777777" w:rsidR="00582B20" w:rsidRPr="00A03269" w:rsidRDefault="006626C2" w:rsidP="00D11E99">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Percent</w:t>
            </w:r>
          </w:p>
        </w:tc>
        <w:tc>
          <w:tcPr>
            <w:tcW w:w="1559" w:type="dxa"/>
            <w:tcBorders>
              <w:top w:val="single" w:sz="8" w:space="0" w:color="000000"/>
              <w:left w:val="single" w:sz="8" w:space="0" w:color="000000"/>
              <w:bottom w:val="single" w:sz="8" w:space="0" w:color="000000"/>
              <w:right w:val="single" w:sz="8" w:space="0" w:color="000000"/>
            </w:tcBorders>
          </w:tcPr>
          <w:p w14:paraId="0D77490C" w14:textId="77777777" w:rsidR="00582B20" w:rsidRPr="00A03269" w:rsidRDefault="006626C2" w:rsidP="00D11E99">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Label</w:t>
            </w:r>
          </w:p>
        </w:tc>
        <w:tc>
          <w:tcPr>
            <w:tcW w:w="4536" w:type="dxa"/>
            <w:tcBorders>
              <w:top w:val="single" w:sz="8" w:space="0" w:color="000000"/>
              <w:left w:val="single" w:sz="8" w:space="0" w:color="000000"/>
              <w:bottom w:val="single" w:sz="8" w:space="0" w:color="000000"/>
              <w:right w:val="single" w:sz="8" w:space="0" w:color="000000"/>
            </w:tcBorders>
          </w:tcPr>
          <w:p w14:paraId="343A152C" w14:textId="77777777" w:rsidR="00582B20" w:rsidRPr="00A03269" w:rsidRDefault="006626C2" w:rsidP="00D11E99">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Top_20_Prob</w:t>
            </w:r>
          </w:p>
        </w:tc>
        <w:tc>
          <w:tcPr>
            <w:tcW w:w="5993" w:type="dxa"/>
            <w:tcBorders>
              <w:top w:val="single" w:sz="8" w:space="0" w:color="000000"/>
              <w:left w:val="single" w:sz="8" w:space="0" w:color="000000"/>
              <w:bottom w:val="single" w:sz="8" w:space="0" w:color="000000"/>
              <w:right w:val="single" w:sz="8" w:space="0" w:color="000000"/>
            </w:tcBorders>
          </w:tcPr>
          <w:p w14:paraId="334AFB39" w14:textId="77777777" w:rsidR="00582B20" w:rsidRPr="00A03269" w:rsidRDefault="006626C2" w:rsidP="00D11E99">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Top_20_FREX</w:t>
            </w:r>
          </w:p>
        </w:tc>
      </w:tr>
      <w:tr w:rsidR="00582B20" w:rsidRPr="00A03269" w14:paraId="508F0B5F" w14:textId="77777777" w:rsidTr="00D11E99">
        <w:trPr>
          <w:trHeight w:val="1207"/>
        </w:trPr>
        <w:tc>
          <w:tcPr>
            <w:tcW w:w="1080" w:type="dxa"/>
            <w:tcBorders>
              <w:top w:val="single" w:sz="8" w:space="0" w:color="000000"/>
              <w:left w:val="single" w:sz="8" w:space="0" w:color="000000"/>
              <w:bottom w:val="single" w:sz="8" w:space="0" w:color="000000"/>
              <w:right w:val="single" w:sz="8" w:space="0" w:color="000000"/>
            </w:tcBorders>
          </w:tcPr>
          <w:p w14:paraId="0274CFFD"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 1</w:t>
            </w:r>
          </w:p>
        </w:tc>
        <w:tc>
          <w:tcPr>
            <w:tcW w:w="1037" w:type="dxa"/>
            <w:tcBorders>
              <w:top w:val="single" w:sz="8" w:space="0" w:color="000000"/>
              <w:left w:val="single" w:sz="8" w:space="0" w:color="000000"/>
              <w:bottom w:val="single" w:sz="8" w:space="0" w:color="000000"/>
              <w:right w:val="single" w:sz="8" w:space="0" w:color="000000"/>
            </w:tcBorders>
          </w:tcPr>
          <w:p w14:paraId="565BC1D9"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25.39</w:t>
            </w:r>
          </w:p>
        </w:tc>
        <w:tc>
          <w:tcPr>
            <w:tcW w:w="1559" w:type="dxa"/>
            <w:tcBorders>
              <w:top w:val="single" w:sz="8" w:space="0" w:color="000000"/>
              <w:left w:val="single" w:sz="8" w:space="0" w:color="000000"/>
              <w:bottom w:val="single" w:sz="8" w:space="0" w:color="000000"/>
              <w:right w:val="single" w:sz="8" w:space="0" w:color="000000"/>
            </w:tcBorders>
          </w:tcPr>
          <w:p w14:paraId="192890BB"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Attainment, Assessment and Classroom Practices</w:t>
            </w:r>
          </w:p>
        </w:tc>
        <w:tc>
          <w:tcPr>
            <w:tcW w:w="4536" w:type="dxa"/>
            <w:tcBorders>
              <w:top w:val="single" w:sz="8" w:space="0" w:color="000000"/>
              <w:left w:val="single" w:sz="8" w:space="0" w:color="000000"/>
              <w:bottom w:val="single" w:sz="8" w:space="0" w:color="000000"/>
              <w:right w:val="single" w:sz="8" w:space="0" w:color="000000"/>
            </w:tcBorders>
          </w:tcPr>
          <w:p w14:paraId="444519D2"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students, gender, school, gender differences, performance, pupils, national, boys, practices, learning, girls, knowledge, assessment, numeracy, interviews, science, outcomes, undergraduate, views, written</w:t>
            </w:r>
          </w:p>
        </w:tc>
        <w:tc>
          <w:tcPr>
            <w:tcW w:w="5993" w:type="dxa"/>
            <w:tcBorders>
              <w:top w:val="single" w:sz="8" w:space="0" w:color="000000"/>
              <w:left w:val="single" w:sz="8" w:space="0" w:color="000000"/>
              <w:bottom w:val="single" w:sz="8" w:space="0" w:color="000000"/>
              <w:right w:val="single" w:sz="8" w:space="0" w:color="000000"/>
            </w:tcBorders>
          </w:tcPr>
          <w:p w14:paraId="29FC567F"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numeracy, gender differences, practices, national, pupils, performance, questions, PGCE, written, problem, knowledge, strategy, location, assessment, curricula, division, students' views, outcomes, calculation, ICT</w:t>
            </w:r>
          </w:p>
        </w:tc>
      </w:tr>
      <w:tr w:rsidR="00582B20" w:rsidRPr="00A03269" w14:paraId="715FDD2E" w14:textId="77777777" w:rsidTr="00D11E99">
        <w:trPr>
          <w:trHeight w:val="1183"/>
        </w:trPr>
        <w:tc>
          <w:tcPr>
            <w:tcW w:w="1080" w:type="dxa"/>
            <w:tcBorders>
              <w:top w:val="single" w:sz="8" w:space="0" w:color="000000"/>
              <w:left w:val="single" w:sz="8" w:space="0" w:color="000000"/>
              <w:bottom w:val="single" w:sz="8" w:space="0" w:color="000000"/>
              <w:right w:val="single" w:sz="8" w:space="0" w:color="000000"/>
            </w:tcBorders>
          </w:tcPr>
          <w:p w14:paraId="1AB40F0F"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 2</w:t>
            </w:r>
          </w:p>
        </w:tc>
        <w:tc>
          <w:tcPr>
            <w:tcW w:w="1037" w:type="dxa"/>
            <w:tcBorders>
              <w:top w:val="single" w:sz="8" w:space="0" w:color="000000"/>
              <w:left w:val="single" w:sz="8" w:space="0" w:color="000000"/>
              <w:bottom w:val="single" w:sz="8" w:space="0" w:color="000000"/>
              <w:right w:val="single" w:sz="8" w:space="0" w:color="000000"/>
            </w:tcBorders>
          </w:tcPr>
          <w:p w14:paraId="08B27A3C"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19.7</w:t>
            </w:r>
          </w:p>
        </w:tc>
        <w:tc>
          <w:tcPr>
            <w:tcW w:w="1559" w:type="dxa"/>
            <w:tcBorders>
              <w:top w:val="single" w:sz="8" w:space="0" w:color="000000"/>
              <w:left w:val="single" w:sz="8" w:space="0" w:color="000000"/>
              <w:bottom w:val="single" w:sz="8" w:space="0" w:color="000000"/>
              <w:right w:val="single" w:sz="8" w:space="0" w:color="000000"/>
            </w:tcBorders>
          </w:tcPr>
          <w:p w14:paraId="420803B9"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 xml:space="preserve">Educational pathways, Equity and Policy </w:t>
            </w:r>
          </w:p>
        </w:tc>
        <w:tc>
          <w:tcPr>
            <w:tcW w:w="4536" w:type="dxa"/>
            <w:tcBorders>
              <w:top w:val="single" w:sz="8" w:space="0" w:color="000000"/>
              <w:left w:val="single" w:sz="8" w:space="0" w:color="000000"/>
              <w:bottom w:val="single" w:sz="8" w:space="0" w:color="000000"/>
              <w:right w:val="single" w:sz="8" w:space="0" w:color="000000"/>
            </w:tcBorders>
          </w:tcPr>
          <w:p w14:paraId="4883A553"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attainment, education, gender, participation, England, girls, STEM, attitudes, secondary, social, grouping, factors, gendered, equity, ethnicity, GCSE, policy, post-16, key stage, outcomes</w:t>
            </w:r>
          </w:p>
        </w:tc>
        <w:tc>
          <w:tcPr>
            <w:tcW w:w="5993" w:type="dxa"/>
            <w:tcBorders>
              <w:top w:val="single" w:sz="8" w:space="0" w:color="000000"/>
              <w:left w:val="single" w:sz="8" w:space="0" w:color="000000"/>
              <w:bottom w:val="single" w:sz="8" w:space="0" w:color="000000"/>
              <w:right w:val="single" w:sz="8" w:space="0" w:color="000000"/>
            </w:tcBorders>
          </w:tcPr>
          <w:p w14:paraId="7D6A482D"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STEM, attainment, participation, grouping, policy, post-16, equity, ethnicity, core, funded, England, gendered, construct, emerging, linguistic, TIMSS, key stage, large-scale, engineering, post-compulsory</w:t>
            </w:r>
          </w:p>
        </w:tc>
      </w:tr>
      <w:tr w:rsidR="00582B20" w:rsidRPr="00A03269" w14:paraId="4B0FA5E4" w14:textId="77777777" w:rsidTr="00D11E99">
        <w:trPr>
          <w:trHeight w:val="923"/>
        </w:trPr>
        <w:tc>
          <w:tcPr>
            <w:tcW w:w="1080" w:type="dxa"/>
            <w:tcBorders>
              <w:top w:val="single" w:sz="8" w:space="0" w:color="000000"/>
              <w:left w:val="single" w:sz="8" w:space="0" w:color="000000"/>
              <w:bottom w:val="single" w:sz="8" w:space="0" w:color="000000"/>
              <w:right w:val="single" w:sz="8" w:space="0" w:color="000000"/>
            </w:tcBorders>
          </w:tcPr>
          <w:p w14:paraId="05B53137"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 xml:space="preserve">Topic 3 </w:t>
            </w:r>
          </w:p>
        </w:tc>
        <w:tc>
          <w:tcPr>
            <w:tcW w:w="1037" w:type="dxa"/>
            <w:tcBorders>
              <w:top w:val="single" w:sz="8" w:space="0" w:color="000000"/>
              <w:left w:val="single" w:sz="8" w:space="0" w:color="000000"/>
              <w:bottom w:val="single" w:sz="8" w:space="0" w:color="000000"/>
              <w:right w:val="single" w:sz="8" w:space="0" w:color="000000"/>
            </w:tcBorders>
          </w:tcPr>
          <w:p w14:paraId="132DB611"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19.34</w:t>
            </w:r>
          </w:p>
        </w:tc>
        <w:tc>
          <w:tcPr>
            <w:tcW w:w="1559" w:type="dxa"/>
            <w:tcBorders>
              <w:top w:val="single" w:sz="8" w:space="0" w:color="000000"/>
              <w:left w:val="single" w:sz="8" w:space="0" w:color="000000"/>
              <w:bottom w:val="single" w:sz="8" w:space="0" w:color="000000"/>
              <w:right w:val="single" w:sz="8" w:space="0" w:color="000000"/>
            </w:tcBorders>
          </w:tcPr>
          <w:p w14:paraId="5BAE6EA9"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Student Affect, Anxiety and self-efficacy</w:t>
            </w:r>
          </w:p>
        </w:tc>
        <w:tc>
          <w:tcPr>
            <w:tcW w:w="4536" w:type="dxa"/>
            <w:tcBorders>
              <w:top w:val="single" w:sz="8" w:space="0" w:color="000000"/>
              <w:left w:val="single" w:sz="8" w:space="0" w:color="000000"/>
              <w:bottom w:val="single" w:sz="8" w:space="0" w:color="000000"/>
              <w:right w:val="single" w:sz="8" w:space="0" w:color="000000"/>
            </w:tcBorders>
          </w:tcPr>
          <w:p w14:paraId="4DD823FB"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anxiety, children, girls, secondary, boys, gender, school, rural, students, course, age, self-efficacy, Bangladesh, perceptions, learners, optional, parents, achievement, interactions, support</w:t>
            </w:r>
          </w:p>
        </w:tc>
        <w:tc>
          <w:tcPr>
            <w:tcW w:w="5993" w:type="dxa"/>
            <w:tcBorders>
              <w:top w:val="single" w:sz="8" w:space="0" w:color="000000"/>
              <w:left w:val="single" w:sz="8" w:space="0" w:color="000000"/>
              <w:bottom w:val="single" w:sz="8" w:space="0" w:color="000000"/>
              <w:right w:val="single" w:sz="8" w:space="0" w:color="000000"/>
            </w:tcBorders>
          </w:tcPr>
          <w:p w14:paraId="77E9452C"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Bangladesh, rural secondary, anxiety, children, optional course, parents, score, higher-mathematics optional course, self-efficacy, secondary school, feelings, anxiety levels, word problems, adults, learners, perceptions, parental, mixed, studying, mental</w:t>
            </w:r>
          </w:p>
        </w:tc>
      </w:tr>
      <w:tr w:rsidR="00582B20" w:rsidRPr="00A03269" w14:paraId="0096CA0C" w14:textId="77777777" w:rsidTr="00D11E99">
        <w:trPr>
          <w:trHeight w:val="1275"/>
        </w:trPr>
        <w:tc>
          <w:tcPr>
            <w:tcW w:w="1080" w:type="dxa"/>
            <w:tcBorders>
              <w:top w:val="single" w:sz="8" w:space="0" w:color="000000"/>
              <w:left w:val="single" w:sz="8" w:space="0" w:color="000000"/>
              <w:bottom w:val="single" w:sz="8" w:space="0" w:color="000000"/>
              <w:right w:val="single" w:sz="8" w:space="0" w:color="000000"/>
            </w:tcBorders>
          </w:tcPr>
          <w:p w14:paraId="325BEDE0"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 4</w:t>
            </w:r>
          </w:p>
        </w:tc>
        <w:tc>
          <w:tcPr>
            <w:tcW w:w="1037" w:type="dxa"/>
            <w:tcBorders>
              <w:top w:val="single" w:sz="8" w:space="0" w:color="000000"/>
              <w:left w:val="single" w:sz="8" w:space="0" w:color="000000"/>
              <w:bottom w:val="single" w:sz="8" w:space="0" w:color="000000"/>
              <w:right w:val="single" w:sz="8" w:space="0" w:color="000000"/>
            </w:tcBorders>
          </w:tcPr>
          <w:p w14:paraId="0BC1803F"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17.93</w:t>
            </w:r>
          </w:p>
        </w:tc>
        <w:tc>
          <w:tcPr>
            <w:tcW w:w="1559" w:type="dxa"/>
            <w:tcBorders>
              <w:top w:val="single" w:sz="8" w:space="0" w:color="000000"/>
              <w:left w:val="single" w:sz="8" w:space="0" w:color="000000"/>
              <w:bottom w:val="single" w:sz="8" w:space="0" w:color="000000"/>
              <w:right w:val="single" w:sz="8" w:space="0" w:color="000000"/>
            </w:tcBorders>
          </w:tcPr>
          <w:p w14:paraId="1961AA82"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Mathematical Identity and discourses</w:t>
            </w:r>
          </w:p>
        </w:tc>
        <w:tc>
          <w:tcPr>
            <w:tcW w:w="4536" w:type="dxa"/>
            <w:tcBorders>
              <w:top w:val="single" w:sz="8" w:space="0" w:color="000000"/>
              <w:left w:val="single" w:sz="8" w:space="0" w:color="000000"/>
              <w:bottom w:val="single" w:sz="8" w:space="0" w:color="000000"/>
              <w:right w:val="single" w:sz="8" w:space="0" w:color="000000"/>
            </w:tcBorders>
          </w:tcPr>
          <w:p w14:paraId="52D70ADA"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gender, achievement, girls, discursive, student, variables, age, cultural capital, drawing, geek, identity, mathematics-related, social, participation, teacher, performance, culture, context, Ireland, choosing</w:t>
            </w:r>
          </w:p>
        </w:tc>
        <w:tc>
          <w:tcPr>
            <w:tcW w:w="5993" w:type="dxa"/>
            <w:tcBorders>
              <w:top w:val="single" w:sz="8" w:space="0" w:color="000000"/>
              <w:left w:val="single" w:sz="8" w:space="0" w:color="000000"/>
              <w:bottom w:val="single" w:sz="8" w:space="0" w:color="000000"/>
              <w:right w:val="single" w:sz="8" w:space="0" w:color="000000"/>
            </w:tcBorders>
          </w:tcPr>
          <w:p w14:paraId="1EC82DEE"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choosing, discourses, identity, mathematics-related, maturity, constructions, Northern Ireland, represented, discursive, achievement, variables, drawing, cultural capital, geek, belief, masculinity, gender, interest, culture, multilevel</w:t>
            </w:r>
          </w:p>
        </w:tc>
      </w:tr>
      <w:tr w:rsidR="00582B20" w:rsidRPr="00A03269" w14:paraId="4DC9F442" w14:textId="77777777" w:rsidTr="00D11E99">
        <w:trPr>
          <w:trHeight w:val="1515"/>
        </w:trPr>
        <w:tc>
          <w:tcPr>
            <w:tcW w:w="1080" w:type="dxa"/>
            <w:tcBorders>
              <w:top w:val="single" w:sz="8" w:space="0" w:color="000000"/>
              <w:left w:val="single" w:sz="8" w:space="0" w:color="000000"/>
              <w:bottom w:val="single" w:sz="8" w:space="0" w:color="000000"/>
              <w:right w:val="single" w:sz="8" w:space="0" w:color="000000"/>
            </w:tcBorders>
          </w:tcPr>
          <w:p w14:paraId="33D1E5E2"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 5</w:t>
            </w:r>
          </w:p>
        </w:tc>
        <w:tc>
          <w:tcPr>
            <w:tcW w:w="1037" w:type="dxa"/>
            <w:tcBorders>
              <w:top w:val="single" w:sz="8" w:space="0" w:color="000000"/>
              <w:left w:val="single" w:sz="8" w:space="0" w:color="000000"/>
              <w:bottom w:val="single" w:sz="8" w:space="0" w:color="000000"/>
              <w:right w:val="single" w:sz="8" w:space="0" w:color="000000"/>
            </w:tcBorders>
          </w:tcPr>
          <w:p w14:paraId="166CD96F"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17.63</w:t>
            </w:r>
          </w:p>
        </w:tc>
        <w:tc>
          <w:tcPr>
            <w:tcW w:w="1559" w:type="dxa"/>
            <w:tcBorders>
              <w:top w:val="single" w:sz="8" w:space="0" w:color="000000"/>
              <w:left w:val="single" w:sz="8" w:space="0" w:color="000000"/>
              <w:bottom w:val="single" w:sz="8" w:space="0" w:color="000000"/>
              <w:right w:val="single" w:sz="8" w:space="0" w:color="000000"/>
            </w:tcBorders>
          </w:tcPr>
          <w:p w14:paraId="68DE3D7E"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Teacher education, professional learning and representations</w:t>
            </w:r>
          </w:p>
        </w:tc>
        <w:tc>
          <w:tcPr>
            <w:tcW w:w="4536" w:type="dxa"/>
            <w:tcBorders>
              <w:top w:val="single" w:sz="8" w:space="0" w:color="000000"/>
              <w:left w:val="single" w:sz="8" w:space="0" w:color="000000"/>
              <w:bottom w:val="single" w:sz="8" w:space="0" w:color="000000"/>
              <w:right w:val="single" w:sz="8" w:space="0" w:color="000000"/>
            </w:tcBorders>
          </w:tcPr>
          <w:p w14:paraId="30E9FBE1"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teachers, women, professional learning, teaching, experiences, England, education, beliefs, mathematicians, images, programme, primary, Chinese, careers, stories, women teachers, schools, initial, confidence, gender</w:t>
            </w:r>
          </w:p>
        </w:tc>
        <w:tc>
          <w:tcPr>
            <w:tcW w:w="5993" w:type="dxa"/>
            <w:tcBorders>
              <w:top w:val="single" w:sz="8" w:space="0" w:color="000000"/>
              <w:left w:val="single" w:sz="8" w:space="0" w:color="000000"/>
              <w:bottom w:val="single" w:sz="8" w:space="0" w:color="000000"/>
              <w:right w:val="single" w:sz="8" w:space="0" w:color="000000"/>
            </w:tcBorders>
          </w:tcPr>
          <w:p w14:paraId="1B70B484" w14:textId="77777777" w:rsidR="00582B20" w:rsidRPr="00A03269" w:rsidRDefault="006626C2" w:rsidP="00D11E99">
            <w:pPr>
              <w:spacing w:line="240" w:lineRule="auto"/>
              <w:rPr>
                <w:rFonts w:ascii="Times New Roman" w:eastAsia="Times New Roman" w:hAnsi="Times New Roman" w:cs="Times New Roman"/>
              </w:rPr>
            </w:pPr>
            <w:r w:rsidRPr="00A03269">
              <w:rPr>
                <w:rFonts w:ascii="Times New Roman" w:eastAsia="Times New Roman" w:hAnsi="Times New Roman" w:cs="Times New Roman"/>
              </w:rPr>
              <w:t>professional learning, women, teachers, careers, stories, teachers' experiences, women teachers, professional, experiences, number sense, films, presentation, mathematicians, programme, images, beliefs, Chinese, teaching experience, life, semi-structured</w:t>
            </w:r>
          </w:p>
        </w:tc>
      </w:tr>
    </w:tbl>
    <w:p w14:paraId="75EB8862" w14:textId="67DC187A" w:rsidR="00D11E99" w:rsidRPr="00A03269" w:rsidRDefault="006626C2">
      <w:pPr>
        <w:spacing w:after="160"/>
        <w:rPr>
          <w:rFonts w:ascii="Times New Roman" w:eastAsia="Times New Roman" w:hAnsi="Times New Roman" w:cs="Times New Roman"/>
          <w:b/>
          <w:bCs/>
          <w:sz w:val="24"/>
          <w:szCs w:val="24"/>
        </w:rPr>
      </w:pPr>
      <w:r w:rsidRPr="00A03269">
        <w:rPr>
          <w:rFonts w:ascii="Times New Roman" w:eastAsia="Times New Roman" w:hAnsi="Times New Roman" w:cs="Times New Roman"/>
          <w:b/>
          <w:bCs/>
          <w:sz w:val="24"/>
          <w:szCs w:val="24"/>
        </w:rPr>
        <w:lastRenderedPageBreak/>
        <w:t>Table 3B - Topic modelling results from the wider mathematics education corpus (N=568)</w:t>
      </w:r>
    </w:p>
    <w:tbl>
      <w:tblPr>
        <w:tblStyle w:val="a6"/>
        <w:tblpPr w:leftFromText="180" w:rightFromText="180" w:topFromText="180" w:bottomFromText="180" w:vertAnchor="text" w:tblpX="60"/>
        <w:tblW w:w="140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245"/>
        <w:gridCol w:w="1815"/>
        <w:gridCol w:w="4905"/>
        <w:gridCol w:w="4905"/>
      </w:tblGrid>
      <w:tr w:rsidR="00582B20" w:rsidRPr="00A03269" w14:paraId="296310ED" w14:textId="77777777">
        <w:trPr>
          <w:trHeight w:val="570"/>
        </w:trPr>
        <w:tc>
          <w:tcPr>
            <w:tcW w:w="1215" w:type="dxa"/>
          </w:tcPr>
          <w:p w14:paraId="7635A11D" w14:textId="77777777" w:rsidR="00582B20" w:rsidRPr="00A03269" w:rsidRDefault="006626C2">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lastRenderedPageBreak/>
              <w:t>Topic</w:t>
            </w:r>
          </w:p>
        </w:tc>
        <w:tc>
          <w:tcPr>
            <w:tcW w:w="1245" w:type="dxa"/>
          </w:tcPr>
          <w:p w14:paraId="0272DA16" w14:textId="77777777" w:rsidR="00582B20" w:rsidRPr="00A03269" w:rsidRDefault="006626C2">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Percent</w:t>
            </w:r>
          </w:p>
        </w:tc>
        <w:tc>
          <w:tcPr>
            <w:tcW w:w="1815" w:type="dxa"/>
          </w:tcPr>
          <w:p w14:paraId="0B253DE9" w14:textId="77777777" w:rsidR="00582B20" w:rsidRPr="00A03269" w:rsidRDefault="006626C2">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Label</w:t>
            </w:r>
          </w:p>
        </w:tc>
        <w:tc>
          <w:tcPr>
            <w:tcW w:w="4905" w:type="dxa"/>
          </w:tcPr>
          <w:p w14:paraId="2EC4C4CD" w14:textId="77777777" w:rsidR="00582B20" w:rsidRPr="00A03269" w:rsidRDefault="006626C2">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Top_20_Prob</w:t>
            </w:r>
          </w:p>
        </w:tc>
        <w:tc>
          <w:tcPr>
            <w:tcW w:w="4905" w:type="dxa"/>
          </w:tcPr>
          <w:p w14:paraId="4DBEBCF0" w14:textId="77777777" w:rsidR="00582B20" w:rsidRPr="00A03269" w:rsidRDefault="006626C2">
            <w:pPr>
              <w:spacing w:line="240" w:lineRule="auto"/>
              <w:rPr>
                <w:rFonts w:ascii="Times New Roman" w:eastAsia="Times New Roman" w:hAnsi="Times New Roman" w:cs="Times New Roman"/>
                <w:b/>
                <w:bCs/>
              </w:rPr>
            </w:pPr>
            <w:r w:rsidRPr="00A03269">
              <w:rPr>
                <w:rFonts w:ascii="Times New Roman" w:eastAsia="Times New Roman" w:hAnsi="Times New Roman" w:cs="Times New Roman"/>
                <w:b/>
                <w:bCs/>
              </w:rPr>
              <w:t>Top_20_FREX</w:t>
            </w:r>
          </w:p>
        </w:tc>
      </w:tr>
      <w:tr w:rsidR="00582B20" w:rsidRPr="00A03269" w14:paraId="1CEF3389" w14:textId="77777777">
        <w:trPr>
          <w:trHeight w:val="560"/>
        </w:trPr>
        <w:tc>
          <w:tcPr>
            <w:tcW w:w="1215" w:type="dxa"/>
          </w:tcPr>
          <w:p w14:paraId="588D2C10"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 1</w:t>
            </w:r>
          </w:p>
        </w:tc>
        <w:tc>
          <w:tcPr>
            <w:tcW w:w="1245" w:type="dxa"/>
          </w:tcPr>
          <w:p w14:paraId="3AE04518"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15.88</w:t>
            </w:r>
          </w:p>
        </w:tc>
        <w:tc>
          <w:tcPr>
            <w:tcW w:w="1815" w:type="dxa"/>
          </w:tcPr>
          <w:p w14:paraId="48C7770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Equity &amp; Mathematical identities</w:t>
            </w:r>
          </w:p>
        </w:tc>
        <w:tc>
          <w:tcPr>
            <w:tcW w:w="4905" w:type="dxa"/>
          </w:tcPr>
          <w:p w14:paraId="272ECC38"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students, gender, education, women, identity, participation, classroom, support, social context, equity, experiences, learning, school, university, inclusion, race, feminist perspectives, diversity, mathematical identity, marginalisation</w:t>
            </w:r>
          </w:p>
        </w:tc>
        <w:tc>
          <w:tcPr>
            <w:tcW w:w="4905" w:type="dxa"/>
          </w:tcPr>
          <w:p w14:paraId="495D5769"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mathematicians, mathematical identity, discourse, equity, marginalisation, political issues, inclusion, women, textbooks, diversity, race, methodology, feminist perspectives, inequality, queer perspectives, social context, equity work, participation, university, classroom</w:t>
            </w:r>
          </w:p>
        </w:tc>
      </w:tr>
      <w:tr w:rsidR="00582B20" w:rsidRPr="00A03269" w14:paraId="72A9161B" w14:textId="77777777">
        <w:trPr>
          <w:trHeight w:val="560"/>
        </w:trPr>
        <w:tc>
          <w:tcPr>
            <w:tcW w:w="1215" w:type="dxa"/>
          </w:tcPr>
          <w:p w14:paraId="1F98C0D3"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 2</w:t>
            </w:r>
          </w:p>
        </w:tc>
        <w:tc>
          <w:tcPr>
            <w:tcW w:w="1245" w:type="dxa"/>
          </w:tcPr>
          <w:p w14:paraId="422A1F04"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15.61</w:t>
            </w:r>
          </w:p>
        </w:tc>
        <w:tc>
          <w:tcPr>
            <w:tcW w:w="1815" w:type="dxa"/>
          </w:tcPr>
          <w:p w14:paraId="64F4B76A"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Gender Differences in Achievement and assessment</w:t>
            </w:r>
          </w:p>
        </w:tc>
        <w:tc>
          <w:tcPr>
            <w:tcW w:w="4905" w:type="dxa"/>
          </w:tcPr>
          <w:p w14:paraId="1B2D4AF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gender differences, girls, boys, achievement, performance, school, reasoning, grade level, ability, tests, assessment, significant effects, boy-girl comparisons, explanatory factors, relationships, cognitive ability, socioeconomic status, TIMSS, international comparisons, risk-taking</w:t>
            </w:r>
          </w:p>
        </w:tc>
        <w:tc>
          <w:tcPr>
            <w:tcW w:w="4905" w:type="dxa"/>
          </w:tcPr>
          <w:p w14:paraId="33A2411F"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TIMSS, boy-girl comparisons, gender differences, boys, statistical reasoning, international science, test items, international trends, competition, country comparisons, girl-boy comparisons, achievement differences, risk-taking, attribution, socioeconomic status, cognitive ability, girls, achievement, performance, assessment</w:t>
            </w:r>
          </w:p>
        </w:tc>
      </w:tr>
      <w:tr w:rsidR="00582B20" w:rsidRPr="00A03269" w14:paraId="2D73892B" w14:textId="77777777">
        <w:trPr>
          <w:trHeight w:val="560"/>
        </w:trPr>
        <w:tc>
          <w:tcPr>
            <w:tcW w:w="1215" w:type="dxa"/>
          </w:tcPr>
          <w:p w14:paraId="5BC1ED76" w14:textId="4EAD84F5"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w:t>
            </w:r>
            <w:r w:rsidR="00D11E99" w:rsidRPr="00A03269">
              <w:rPr>
                <w:rFonts w:ascii="Times New Roman" w:eastAsia="Times New Roman" w:hAnsi="Times New Roman" w:cs="Times New Roman"/>
              </w:rPr>
              <w:t xml:space="preserve"> </w:t>
            </w:r>
            <w:r w:rsidRPr="00A03269">
              <w:rPr>
                <w:rFonts w:ascii="Times New Roman" w:eastAsia="Times New Roman" w:hAnsi="Times New Roman" w:cs="Times New Roman"/>
              </w:rPr>
              <w:t>3</w:t>
            </w:r>
          </w:p>
        </w:tc>
        <w:tc>
          <w:tcPr>
            <w:tcW w:w="1245" w:type="dxa"/>
          </w:tcPr>
          <w:p w14:paraId="39BFB82F"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13.9</w:t>
            </w:r>
          </w:p>
        </w:tc>
        <w:tc>
          <w:tcPr>
            <w:tcW w:w="1815" w:type="dxa"/>
          </w:tcPr>
          <w:p w14:paraId="0B09C7A2"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Attitudes, Achievement &amp; Statistics education</w:t>
            </w:r>
          </w:p>
        </w:tc>
        <w:tc>
          <w:tcPr>
            <w:tcW w:w="4905" w:type="dxa"/>
          </w:tcPr>
          <w:p w14:paraId="113C3C30"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student attitudes, achievement, school, attitudes toward statistics, statistical learning, secondary school, gender differences, student achievement, modelling, relationships, grade level, high school, academic achievement, positive attitudes, achievement tests, coeducation, non-cognitive factors, statistics anxiety, school students, attitude measures</w:t>
            </w:r>
          </w:p>
        </w:tc>
        <w:tc>
          <w:tcPr>
            <w:tcW w:w="4905" w:type="dxa"/>
          </w:tcPr>
          <w:p w14:paraId="4EDDC8F7"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attitudes toward statistics, statistics anxiety, student attitudes, student achievement, junior secondary school, coeducation, non-cognitive factors, academic achievement, positive attitudes, achievement tests, sex differences, school students, attitude measures, statistics education, secondary students, gender differences, modelling, relationship, effect, achievement</w:t>
            </w:r>
          </w:p>
        </w:tc>
      </w:tr>
      <w:tr w:rsidR="00582B20" w:rsidRPr="00A03269" w14:paraId="495FBAEB" w14:textId="77777777">
        <w:trPr>
          <w:trHeight w:val="560"/>
        </w:trPr>
        <w:tc>
          <w:tcPr>
            <w:tcW w:w="1215" w:type="dxa"/>
          </w:tcPr>
          <w:p w14:paraId="4461FD81" w14:textId="3572B64E"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w:t>
            </w:r>
            <w:r w:rsidR="00D11E99" w:rsidRPr="00A03269">
              <w:rPr>
                <w:rFonts w:ascii="Times New Roman" w:eastAsia="Times New Roman" w:hAnsi="Times New Roman" w:cs="Times New Roman"/>
              </w:rPr>
              <w:t xml:space="preserve"> </w:t>
            </w:r>
            <w:r w:rsidRPr="00A03269">
              <w:rPr>
                <w:rFonts w:ascii="Times New Roman" w:eastAsia="Times New Roman" w:hAnsi="Times New Roman" w:cs="Times New Roman"/>
              </w:rPr>
              <w:t>4</w:t>
            </w:r>
          </w:p>
        </w:tc>
        <w:tc>
          <w:tcPr>
            <w:tcW w:w="1245" w:type="dxa"/>
          </w:tcPr>
          <w:p w14:paraId="7E471141"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13.2</w:t>
            </w:r>
          </w:p>
        </w:tc>
        <w:tc>
          <w:tcPr>
            <w:tcW w:w="1815" w:type="dxa"/>
          </w:tcPr>
          <w:p w14:paraId="076DF130"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Problem Solving, Reasoning &amp; Performance</w:t>
            </w:r>
          </w:p>
        </w:tc>
        <w:tc>
          <w:tcPr>
            <w:tcW w:w="4905" w:type="dxa"/>
          </w:tcPr>
          <w:p w14:paraId="1FCA7A9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problem solving, student performance, statistical reasoning, school level, year group, statistics, courses, skills, gender differences, male students, female students, thinking, understanding, grade level, tasks, visualisation, number sense, metacognition, prior knowledge, problem-solving strategies</w:t>
            </w:r>
          </w:p>
        </w:tc>
        <w:tc>
          <w:tcPr>
            <w:tcW w:w="4905" w:type="dxa"/>
          </w:tcPr>
          <w:p w14:paraId="35CE60AE"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problem solving, solving problems, graphs, difficulties, errors, prior knowledge, problem-solving strategies, thinking, student performance, introductory courses, operations, visual reasoning, tasks, frequency, number sense, metacognition, statistical reasoning, mathematical understanding, skills, performance</w:t>
            </w:r>
          </w:p>
        </w:tc>
      </w:tr>
      <w:tr w:rsidR="00582B20" w:rsidRPr="00A03269" w14:paraId="3A384957" w14:textId="77777777">
        <w:trPr>
          <w:trHeight w:val="560"/>
        </w:trPr>
        <w:tc>
          <w:tcPr>
            <w:tcW w:w="1215" w:type="dxa"/>
          </w:tcPr>
          <w:p w14:paraId="78929CB0" w14:textId="0602F964"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lastRenderedPageBreak/>
              <w:t>Topic</w:t>
            </w:r>
            <w:r w:rsidR="00D11E99" w:rsidRPr="00A03269">
              <w:rPr>
                <w:rFonts w:ascii="Times New Roman" w:eastAsia="Times New Roman" w:hAnsi="Times New Roman" w:cs="Times New Roman"/>
              </w:rPr>
              <w:t xml:space="preserve"> </w:t>
            </w:r>
            <w:r w:rsidRPr="00A03269">
              <w:rPr>
                <w:rFonts w:ascii="Times New Roman" w:eastAsia="Times New Roman" w:hAnsi="Times New Roman" w:cs="Times New Roman"/>
              </w:rPr>
              <w:t>5</w:t>
            </w:r>
          </w:p>
        </w:tc>
        <w:tc>
          <w:tcPr>
            <w:tcW w:w="1245" w:type="dxa"/>
          </w:tcPr>
          <w:p w14:paraId="2B920B8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12.82</w:t>
            </w:r>
          </w:p>
        </w:tc>
        <w:tc>
          <w:tcPr>
            <w:tcW w:w="1815" w:type="dxa"/>
          </w:tcPr>
          <w:p w14:paraId="1CD193DD"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Teacher Knowledge, Education &amp; Self-Efficacy</w:t>
            </w:r>
          </w:p>
        </w:tc>
        <w:tc>
          <w:tcPr>
            <w:tcW w:w="4905" w:type="dxa"/>
          </w:tcPr>
          <w:p w14:paraId="2F2239E3"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teachers, teaching, teacher education, gender, teacher knowledge, schools, self-efficacy, teaching practices, assessment, technology integration, teacher beliefs, pre-service teachers, teaching experience, primary teachers, science teachers, pedagogical knowledge, elementary teachers, prospective teachers, TPACK, professional development</w:t>
            </w:r>
          </w:p>
        </w:tc>
        <w:tc>
          <w:tcPr>
            <w:tcW w:w="4905" w:type="dxa"/>
          </w:tcPr>
          <w:p w14:paraId="4F138092"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pre-service teachers, female teachers, teacher self-efficacy, teacher education, school teachers, teacher knowledge, primary teachers, TPACK, science teachers, teaching experience, prospective teachers, teacher practice, elementary teachers, pedagogy, games, technology integration, teacher beliefs, professional development, teaching confidence, assessment practice</w:t>
            </w:r>
          </w:p>
        </w:tc>
      </w:tr>
      <w:tr w:rsidR="00582B20" w:rsidRPr="00A03269" w14:paraId="38B17607" w14:textId="77777777">
        <w:trPr>
          <w:trHeight w:val="560"/>
        </w:trPr>
        <w:tc>
          <w:tcPr>
            <w:tcW w:w="1215" w:type="dxa"/>
          </w:tcPr>
          <w:p w14:paraId="1C626274" w14:textId="3FA9D82A"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w:t>
            </w:r>
            <w:r w:rsidR="00D11E99" w:rsidRPr="00A03269">
              <w:rPr>
                <w:rFonts w:ascii="Times New Roman" w:eastAsia="Times New Roman" w:hAnsi="Times New Roman" w:cs="Times New Roman"/>
              </w:rPr>
              <w:t xml:space="preserve"> </w:t>
            </w:r>
            <w:r w:rsidRPr="00A03269">
              <w:rPr>
                <w:rFonts w:ascii="Times New Roman" w:eastAsia="Times New Roman" w:hAnsi="Times New Roman" w:cs="Times New Roman"/>
              </w:rPr>
              <w:t>6</w:t>
            </w:r>
          </w:p>
        </w:tc>
        <w:tc>
          <w:tcPr>
            <w:tcW w:w="1245" w:type="dxa"/>
          </w:tcPr>
          <w:p w14:paraId="0567B970"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10.51</w:t>
            </w:r>
          </w:p>
        </w:tc>
        <w:tc>
          <w:tcPr>
            <w:tcW w:w="1815" w:type="dxa"/>
          </w:tcPr>
          <w:p w14:paraId="7741A120"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STEM Participation, Interest &amp; Careers</w:t>
            </w:r>
          </w:p>
        </w:tc>
        <w:tc>
          <w:tcPr>
            <w:tcW w:w="4905" w:type="dxa"/>
          </w:tcPr>
          <w:p w14:paraId="2BCF459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STEM, students, science, school, gender, careers, interest, education, engineering, technology, programmes, female students, participation, science and technology, STEM subjects, girls, stereotypes, STEM education, STEM majors, STEM fields</w:t>
            </w:r>
          </w:p>
        </w:tc>
        <w:tc>
          <w:tcPr>
            <w:tcW w:w="4905" w:type="dxa"/>
          </w:tcPr>
          <w:p w14:paraId="49AE2440"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STEM education, STEM careers, engineering STEM, technology and engineering, STEM majors, science and technology, STEM interest, students in STEM, STEM fields, STEM subjects, biology, occupations, STEM camps, stereotypes, career interest, female participation, engineering, science, technology, school STEM</w:t>
            </w:r>
          </w:p>
        </w:tc>
      </w:tr>
      <w:tr w:rsidR="00582B20" w:rsidRPr="00A03269" w14:paraId="46F3D885" w14:textId="77777777">
        <w:trPr>
          <w:trHeight w:val="560"/>
        </w:trPr>
        <w:tc>
          <w:tcPr>
            <w:tcW w:w="1215" w:type="dxa"/>
          </w:tcPr>
          <w:p w14:paraId="0B09CF06" w14:textId="532744CD"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w:t>
            </w:r>
            <w:r w:rsidR="00D11E99" w:rsidRPr="00A03269">
              <w:rPr>
                <w:rFonts w:ascii="Times New Roman" w:eastAsia="Times New Roman" w:hAnsi="Times New Roman" w:cs="Times New Roman"/>
              </w:rPr>
              <w:t xml:space="preserve"> </w:t>
            </w:r>
            <w:r w:rsidRPr="00A03269">
              <w:rPr>
                <w:rFonts w:ascii="Times New Roman" w:eastAsia="Times New Roman" w:hAnsi="Times New Roman" w:cs="Times New Roman"/>
              </w:rPr>
              <w:t>7</w:t>
            </w:r>
          </w:p>
        </w:tc>
        <w:tc>
          <w:tcPr>
            <w:tcW w:w="1245" w:type="dxa"/>
          </w:tcPr>
          <w:p w14:paraId="1257E2EA"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10.24</w:t>
            </w:r>
          </w:p>
        </w:tc>
        <w:tc>
          <w:tcPr>
            <w:tcW w:w="1815" w:type="dxa"/>
          </w:tcPr>
          <w:p w14:paraId="50A8D44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 xml:space="preserve">Learning Strategies, Confidence &amp; Mathematics Anxiety </w:t>
            </w:r>
          </w:p>
        </w:tc>
        <w:tc>
          <w:tcPr>
            <w:tcW w:w="4905" w:type="dxa"/>
          </w:tcPr>
          <w:p w14:paraId="77E51E4E"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learning, mathematics anxiety, learning strategies, gender differences, confidence, achievement, course performance, calculus, scores, grade level, self-regulation, learning styles, emotional factors, blended learning, student learning, preferences, platform use, higher-level courses, final grades, precalculus</w:t>
            </w:r>
          </w:p>
        </w:tc>
        <w:tc>
          <w:tcPr>
            <w:tcW w:w="4905" w:type="dxa"/>
          </w:tcPr>
          <w:p w14:paraId="2BC8871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learning styles, self-regulation, confidence, learning preferences, emotional factors, learning strategies, blended learning, calculus, mathematics anxiety, student learning, precalculus, higher-level courses, learning platforms, final grades, strategy use, achievement, course performance, gender differences, assessment scores, confidence measures</w:t>
            </w:r>
          </w:p>
        </w:tc>
      </w:tr>
      <w:tr w:rsidR="00582B20" w:rsidRPr="00A03269" w14:paraId="4B50B6B9" w14:textId="77777777">
        <w:trPr>
          <w:trHeight w:val="560"/>
        </w:trPr>
        <w:tc>
          <w:tcPr>
            <w:tcW w:w="1215" w:type="dxa"/>
          </w:tcPr>
          <w:p w14:paraId="13C64B9F" w14:textId="77FF95EF"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Topic</w:t>
            </w:r>
            <w:r w:rsidR="00D11E99" w:rsidRPr="00A03269">
              <w:rPr>
                <w:rFonts w:ascii="Times New Roman" w:eastAsia="Times New Roman" w:hAnsi="Times New Roman" w:cs="Times New Roman"/>
              </w:rPr>
              <w:t xml:space="preserve"> </w:t>
            </w:r>
            <w:r w:rsidRPr="00A03269">
              <w:rPr>
                <w:rFonts w:ascii="Times New Roman" w:eastAsia="Times New Roman" w:hAnsi="Times New Roman" w:cs="Times New Roman"/>
              </w:rPr>
              <w:t>8</w:t>
            </w:r>
          </w:p>
        </w:tc>
        <w:tc>
          <w:tcPr>
            <w:tcW w:w="1245" w:type="dxa"/>
          </w:tcPr>
          <w:p w14:paraId="394FDC6B"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7.85</w:t>
            </w:r>
          </w:p>
        </w:tc>
        <w:tc>
          <w:tcPr>
            <w:tcW w:w="1815" w:type="dxa"/>
          </w:tcPr>
          <w:p w14:paraId="47C7BD8D"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Race, Curriculum &amp; Educational Justice</w:t>
            </w:r>
          </w:p>
        </w:tc>
        <w:tc>
          <w:tcPr>
            <w:tcW w:w="4905" w:type="dxa"/>
          </w:tcPr>
          <w:p w14:paraId="54BFAB67"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education, girls, Black students, curriculum, perceptions, challenges, concept learning, technology integration, learners, teaching, school level, children, Black women, Black girls, justice, STEAM, African American students, virtual learning, manipulatives, digital learning</w:t>
            </w:r>
          </w:p>
        </w:tc>
        <w:tc>
          <w:tcPr>
            <w:tcW w:w="4905" w:type="dxa"/>
          </w:tcPr>
          <w:p w14:paraId="581F7ECF" w14:textId="77777777" w:rsidR="00582B20" w:rsidRPr="00A03269" w:rsidRDefault="006626C2">
            <w:pPr>
              <w:spacing w:line="240" w:lineRule="auto"/>
              <w:rPr>
                <w:rFonts w:ascii="Times New Roman" w:eastAsia="Times New Roman" w:hAnsi="Times New Roman" w:cs="Times New Roman"/>
              </w:rPr>
            </w:pPr>
            <w:r w:rsidRPr="00A03269">
              <w:rPr>
                <w:rFonts w:ascii="Times New Roman" w:eastAsia="Times New Roman" w:hAnsi="Times New Roman" w:cs="Times New Roman"/>
              </w:rPr>
              <w:t>Black women, Black girls, STEAM, COVID-19, pupils, curriculum, justice, preschool, dual enrolment, African American students, curriculum challenges, manipulatives, virtual learning, African students, digital learning, concept learning, children, technology integration, perceptions, school curriculum</w:t>
            </w:r>
          </w:p>
        </w:tc>
      </w:tr>
    </w:tbl>
    <w:p w14:paraId="7F5E21EB" w14:textId="77777777" w:rsidR="00582B20" w:rsidRPr="00A03269" w:rsidRDefault="00582B20">
      <w:pPr>
        <w:spacing w:before="240" w:after="240"/>
        <w:rPr>
          <w:rFonts w:ascii="Times New Roman" w:eastAsia="Times New Roman" w:hAnsi="Times New Roman" w:cs="Times New Roman"/>
          <w:sz w:val="24"/>
          <w:szCs w:val="24"/>
        </w:rPr>
      </w:pPr>
    </w:p>
    <w:p w14:paraId="2BED7578" w14:textId="4EA767BC" w:rsidR="00582B20" w:rsidRDefault="00582B20" w:rsidP="00A03269"/>
    <w:sectPr w:rsidR="00582B20" w:rsidRPr="00A03269">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3146" w14:textId="77777777" w:rsidR="005E4514" w:rsidRPr="00A03269" w:rsidRDefault="005E4514">
      <w:pPr>
        <w:spacing w:line="240" w:lineRule="auto"/>
      </w:pPr>
      <w:r w:rsidRPr="00A03269">
        <w:separator/>
      </w:r>
    </w:p>
  </w:endnote>
  <w:endnote w:type="continuationSeparator" w:id="0">
    <w:p w14:paraId="4C68460D" w14:textId="77777777" w:rsidR="005E4514" w:rsidRPr="00A03269" w:rsidRDefault="005E4514">
      <w:pPr>
        <w:spacing w:line="240" w:lineRule="auto"/>
      </w:pPr>
      <w:r w:rsidRPr="00A032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1469" w14:textId="77777777" w:rsidR="00582B20" w:rsidRPr="00A03269" w:rsidRDefault="006626C2">
    <w:pPr>
      <w:jc w:val="right"/>
    </w:pPr>
    <w:r w:rsidRPr="00A03269">
      <w:fldChar w:fldCharType="begin"/>
    </w:r>
    <w:r w:rsidRPr="00A03269">
      <w:instrText>PAGE</w:instrText>
    </w:r>
    <w:r w:rsidRPr="00A03269">
      <w:fldChar w:fldCharType="separate"/>
    </w:r>
    <w:r w:rsidR="004F443A" w:rsidRPr="00A03269">
      <w:t>1</w:t>
    </w:r>
    <w:r w:rsidRPr="00A0326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A31C" w14:textId="21CC3AFD" w:rsidR="00582B20" w:rsidRPr="00A03269" w:rsidRDefault="006626C2">
    <w:pPr>
      <w:jc w:val="right"/>
    </w:pPr>
    <w:r w:rsidRPr="00A03269">
      <w:fldChar w:fldCharType="begin"/>
    </w:r>
    <w:r w:rsidRPr="00A03269">
      <w:instrText>PAGE</w:instrText>
    </w:r>
    <w:r w:rsidRPr="00A03269">
      <w:fldChar w:fldCharType="separate"/>
    </w:r>
    <w:r w:rsidR="004F443A" w:rsidRPr="00A03269">
      <w:t>2</w:t>
    </w:r>
    <w:r w:rsidRPr="00A03269">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A3FA"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EE4E"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D8F18" w14:textId="77777777" w:rsidR="005E4514" w:rsidRPr="00A03269" w:rsidRDefault="005E4514">
      <w:pPr>
        <w:spacing w:line="240" w:lineRule="auto"/>
      </w:pPr>
      <w:r w:rsidRPr="00A03269">
        <w:separator/>
      </w:r>
    </w:p>
  </w:footnote>
  <w:footnote w:type="continuationSeparator" w:id="0">
    <w:p w14:paraId="3AB9998C" w14:textId="77777777" w:rsidR="005E4514" w:rsidRPr="00A03269" w:rsidRDefault="005E4514">
      <w:pPr>
        <w:spacing w:line="240" w:lineRule="auto"/>
      </w:pPr>
      <w:r w:rsidRPr="00A03269">
        <w:continuationSeparator/>
      </w:r>
    </w:p>
  </w:footnote>
  <w:footnote w:id="1">
    <w:p w14:paraId="09F02131" w14:textId="77777777" w:rsidR="00582B20" w:rsidRDefault="006626C2">
      <w:pPr>
        <w:spacing w:line="240" w:lineRule="auto"/>
        <w:rPr>
          <w:rFonts w:ascii="Times New Roman" w:eastAsia="Times New Roman" w:hAnsi="Times New Roman" w:cs="Times New Roman"/>
          <w:sz w:val="20"/>
          <w:szCs w:val="20"/>
        </w:rPr>
      </w:pPr>
      <w:r w:rsidRPr="00A03269">
        <w:rPr>
          <w:vertAlign w:val="superscript"/>
        </w:rPr>
        <w:footnoteRef/>
      </w:r>
      <w:r w:rsidRPr="00A03269">
        <w:rPr>
          <w:rFonts w:ascii="Times New Roman" w:eastAsia="Times New Roman" w:hAnsi="Times New Roman" w:cs="Times New Roman"/>
          <w:sz w:val="20"/>
          <w:szCs w:val="20"/>
        </w:rPr>
        <w:t xml:space="preserve"> Cisgender refers to individuals whose gender identity is aligned with the sex they were assigned at birth. We use this to differentiate between cis and other gender identities.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8F41" w14:textId="77777777" w:rsidR="00582B20" w:rsidRPr="00A03269" w:rsidRDefault="00582B20">
    <w:pPr>
      <w:spacing w:before="240"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EDBB" w14:textId="77777777" w:rsidR="00582B20" w:rsidRPr="00A03269" w:rsidRDefault="00582B20">
    <w:pPr>
      <w:spacing w:before="240"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6637" w14:textId="77777777" w:rsidR="00582B20" w:rsidRPr="00A03269" w:rsidRDefault="00582B20">
    <w:pPr>
      <w:spacing w:before="240" w:after="2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8D94"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2F1B"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32D3"/>
    <w:multiLevelType w:val="multilevel"/>
    <w:tmpl w:val="F8521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95023B"/>
    <w:multiLevelType w:val="multilevel"/>
    <w:tmpl w:val="D7242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1230062">
    <w:abstractNumId w:val="1"/>
  </w:num>
  <w:num w:numId="2" w16cid:durableId="185691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B20"/>
    <w:rsid w:val="00033E1A"/>
    <w:rsid w:val="000B3061"/>
    <w:rsid w:val="000D0B7F"/>
    <w:rsid w:val="00125068"/>
    <w:rsid w:val="001F2046"/>
    <w:rsid w:val="00200447"/>
    <w:rsid w:val="002937C4"/>
    <w:rsid w:val="002C24E8"/>
    <w:rsid w:val="002E21D0"/>
    <w:rsid w:val="003001F6"/>
    <w:rsid w:val="00305E2C"/>
    <w:rsid w:val="003766DD"/>
    <w:rsid w:val="003772EF"/>
    <w:rsid w:val="00381E85"/>
    <w:rsid w:val="00392035"/>
    <w:rsid w:val="003B557A"/>
    <w:rsid w:val="003D7277"/>
    <w:rsid w:val="00426E24"/>
    <w:rsid w:val="0047527E"/>
    <w:rsid w:val="004C3A6C"/>
    <w:rsid w:val="004E7BCC"/>
    <w:rsid w:val="004F443A"/>
    <w:rsid w:val="00523164"/>
    <w:rsid w:val="00534353"/>
    <w:rsid w:val="0055032F"/>
    <w:rsid w:val="00582B20"/>
    <w:rsid w:val="005946D7"/>
    <w:rsid w:val="005D0408"/>
    <w:rsid w:val="005E4514"/>
    <w:rsid w:val="00613B61"/>
    <w:rsid w:val="00622BBC"/>
    <w:rsid w:val="006626C2"/>
    <w:rsid w:val="006D7A60"/>
    <w:rsid w:val="00781A23"/>
    <w:rsid w:val="007B3190"/>
    <w:rsid w:val="00823639"/>
    <w:rsid w:val="00856C25"/>
    <w:rsid w:val="008C6F90"/>
    <w:rsid w:val="00934081"/>
    <w:rsid w:val="00946399"/>
    <w:rsid w:val="00982660"/>
    <w:rsid w:val="00A03269"/>
    <w:rsid w:val="00A47FF1"/>
    <w:rsid w:val="00A66D44"/>
    <w:rsid w:val="00AD6C94"/>
    <w:rsid w:val="00AF352E"/>
    <w:rsid w:val="00B6645E"/>
    <w:rsid w:val="00B82311"/>
    <w:rsid w:val="00B9631A"/>
    <w:rsid w:val="00BC2133"/>
    <w:rsid w:val="00C27EE4"/>
    <w:rsid w:val="00C3390C"/>
    <w:rsid w:val="00C434E4"/>
    <w:rsid w:val="00C72D67"/>
    <w:rsid w:val="00C8249D"/>
    <w:rsid w:val="00CB2BAB"/>
    <w:rsid w:val="00CB6576"/>
    <w:rsid w:val="00CD681C"/>
    <w:rsid w:val="00D11E99"/>
    <w:rsid w:val="00D2206F"/>
    <w:rsid w:val="00D34E55"/>
    <w:rsid w:val="00D6129C"/>
    <w:rsid w:val="00D84C03"/>
    <w:rsid w:val="00D87B08"/>
    <w:rsid w:val="00E14326"/>
    <w:rsid w:val="00E34A0D"/>
    <w:rsid w:val="00EA55AD"/>
    <w:rsid w:val="00EC207B"/>
    <w:rsid w:val="00EC7403"/>
    <w:rsid w:val="00EF1C11"/>
    <w:rsid w:val="00F45B55"/>
    <w:rsid w:val="00F80E42"/>
    <w:rsid w:val="00FC485A"/>
    <w:rsid w:val="00FC4B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5A91"/>
  <w15:docId w15:val="{75042B32-17D8-46D7-AEF6-A2959A39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F443A"/>
    <w:pPr>
      <w:tabs>
        <w:tab w:val="center" w:pos="4513"/>
        <w:tab w:val="right" w:pos="9026"/>
      </w:tabs>
      <w:spacing w:line="240" w:lineRule="auto"/>
    </w:pPr>
  </w:style>
  <w:style w:type="character" w:customStyle="1" w:styleId="HeaderChar">
    <w:name w:val="Header Char"/>
    <w:basedOn w:val="DefaultParagraphFont"/>
    <w:link w:val="Header"/>
    <w:uiPriority w:val="99"/>
    <w:rsid w:val="004F443A"/>
  </w:style>
  <w:style w:type="paragraph" w:styleId="Footer">
    <w:name w:val="footer"/>
    <w:basedOn w:val="Normal"/>
    <w:link w:val="FooterChar"/>
    <w:uiPriority w:val="99"/>
    <w:unhideWhenUsed/>
    <w:rsid w:val="004F443A"/>
    <w:pPr>
      <w:tabs>
        <w:tab w:val="center" w:pos="4513"/>
        <w:tab w:val="right" w:pos="9026"/>
      </w:tabs>
      <w:spacing w:line="240" w:lineRule="auto"/>
    </w:pPr>
  </w:style>
  <w:style w:type="character" w:customStyle="1" w:styleId="FooterChar">
    <w:name w:val="Footer Char"/>
    <w:basedOn w:val="DefaultParagraphFont"/>
    <w:link w:val="Footer"/>
    <w:uiPriority w:val="99"/>
    <w:rsid w:val="004F443A"/>
  </w:style>
  <w:style w:type="paragraph" w:styleId="Revision">
    <w:name w:val="Revision"/>
    <w:hidden/>
    <w:uiPriority w:val="99"/>
    <w:semiHidden/>
    <w:rsid w:val="00982660"/>
    <w:pPr>
      <w:spacing w:line="240" w:lineRule="auto"/>
    </w:pPr>
  </w:style>
  <w:style w:type="paragraph" w:styleId="CommentSubject">
    <w:name w:val="annotation subject"/>
    <w:basedOn w:val="CommentText"/>
    <w:next w:val="CommentText"/>
    <w:link w:val="CommentSubjectChar"/>
    <w:uiPriority w:val="99"/>
    <w:semiHidden/>
    <w:unhideWhenUsed/>
    <w:rsid w:val="00982660"/>
    <w:rPr>
      <w:b/>
      <w:bCs/>
    </w:rPr>
  </w:style>
  <w:style w:type="character" w:customStyle="1" w:styleId="CommentSubjectChar">
    <w:name w:val="Comment Subject Char"/>
    <w:basedOn w:val="CommentTextChar"/>
    <w:link w:val="CommentSubject"/>
    <w:uiPriority w:val="99"/>
    <w:semiHidden/>
    <w:rsid w:val="00982660"/>
    <w:rPr>
      <w:b/>
      <w:bCs/>
      <w:sz w:val="20"/>
      <w:szCs w:val="20"/>
    </w:rPr>
  </w:style>
  <w:style w:type="character" w:styleId="Hyperlink">
    <w:name w:val="Hyperlink"/>
    <w:basedOn w:val="DefaultParagraphFont"/>
    <w:uiPriority w:val="99"/>
    <w:unhideWhenUsed/>
    <w:rsid w:val="003001F6"/>
    <w:rPr>
      <w:color w:val="0000FF" w:themeColor="hyperlink"/>
      <w:u w:val="single"/>
    </w:rPr>
  </w:style>
  <w:style w:type="character" w:styleId="UnresolvedMention">
    <w:name w:val="Unresolved Mention"/>
    <w:basedOn w:val="DefaultParagraphFont"/>
    <w:uiPriority w:val="99"/>
    <w:semiHidden/>
    <w:unhideWhenUsed/>
    <w:rsid w:val="00300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zotero.org/google-docs/?broken=0qEuUa" TargetMode="External"/><Relationship Id="rId18" Type="http://schemas.openxmlformats.org/officeDocument/2006/relationships/footer" Target="foot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zotero.org/google-docs/?broken=0qEuUa" TargetMode="External"/><Relationship Id="rId17" Type="http://schemas.openxmlformats.org/officeDocument/2006/relationships/header" Target="header1.xm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jmc.org.uk/wordpress-cms/wp-content/uploads/2022/09/Briefing-for-JMC-Gender-Differences-in-Maths-JMC.pdf" TargetMode="External"/><Relationship Id="rId28" Type="http://schemas.openxmlformats.org/officeDocument/2006/relationships/header" Target="header5.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i.org/10.1093/oso/9780198859987.003.0017" TargetMode="External"/><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41</Pages>
  <Words>16300</Words>
  <Characters>104814</Characters>
  <Application>Microsoft Office Word</Application>
  <DocSecurity>0</DocSecurity>
  <Lines>2437</Lines>
  <Paragraphs>1035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 Nardi (EDU - Staff)</dc:creator>
  <cp:lastModifiedBy>Maria Pampaka</cp:lastModifiedBy>
  <cp:revision>3</cp:revision>
  <dcterms:created xsi:type="dcterms:W3CDTF">2026-09-10T13:10:00Z</dcterms:created>
  <dcterms:modified xsi:type="dcterms:W3CDTF">2026-09-10T14:06:00Z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730928357</vt:i4>
  </property>
  <property fmtid="{D5CDD505-2E9C-101B-9397-08002B2CF9AE}" pid="3" name="_NewReviewCycle">
    <vt:lpwstr/>
  </property>
  <property fmtid="{D5CDD505-2E9C-101B-9397-08002B2CF9AE}" pid="4" name="_EmailSubject">
    <vt:lpwstr>BSRLM@40 Chapter 13 (Pampaka et al) 07Aug2026 &amp; Editors' Comments</vt:lpwstr>
  </property>
  <property fmtid="{D5CDD505-2E9C-101B-9397-08002B2CF9AE}" pid="5" name="_AuthorEmail">
    <vt:lpwstr>Maria.Pampaka@manchester.ac.uk</vt:lpwstr>
  </property>
  <property fmtid="{D5CDD505-2E9C-101B-9397-08002B2CF9AE}" pid="6" name="_AuthorEmailDisplayName">
    <vt:lpwstr>Maria Pampaka</vt:lpwstr>
  </property>
  <property fmtid="{D5CDD505-2E9C-101B-9397-08002B2CF9AE}" pid="7" name="_PreviousAdHocReviewCycleID">
    <vt:i4>1183151317</vt:i4>
  </property>
</Properties>
</file>