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五问题-3稳定币需求影响因素与-5-年预测"/>
    <w:p>
      <w:pPr>
        <w:pStyle w:val="Heading1"/>
      </w:pPr>
      <w:r>
        <w:rPr>
          <w:rFonts w:hint="eastAsia"/>
        </w:rPr>
        <w:t xml:space="preserve">五、问题</w:t>
      </w:r>
      <w:r>
        <w:t xml:space="preserve"> </w:t>
      </w:r>
      <w:r>
        <w:rPr>
          <w:rFonts w:hint="eastAsia"/>
        </w:rPr>
        <w:t xml:space="preserve">3：稳定币需求影响因素与</w:t>
      </w:r>
      <w:r>
        <w:t xml:space="preserve"> 5 </w:t>
      </w:r>
      <w:r>
        <w:rPr>
          <w:rFonts w:hint="eastAsia"/>
        </w:rPr>
        <w:t xml:space="preserve">年预测</w:t>
      </w:r>
    </w:p>
    <w:bookmarkStart w:id="21" w:name="场景划分"/>
    <w:p>
      <w:pPr>
        <w:pStyle w:val="Heading2"/>
      </w:pPr>
      <w:r>
        <w:t xml:space="preserve">5.1 </w:t>
      </w:r>
      <w:r>
        <w:rPr>
          <w:rFonts w:hint="eastAsia"/>
        </w:rPr>
        <w:t xml:space="preserve">场景划分</w:t>
      </w:r>
    </w:p>
    <w:p>
      <w:pPr>
        <w:pStyle w:val="FirstParagraph"/>
      </w:pPr>
      <w:r>
        <w:rPr>
          <w:rFonts w:hint="eastAsia"/>
        </w:rPr>
        <w:t xml:space="preserve">图</w:t>
      </w:r>
      <w:r>
        <w:t xml:space="preserve"> 5-1 </w:t>
      </w:r>
      <w:r>
        <w:rPr>
          <w:rFonts w:hint="eastAsia"/>
        </w:rPr>
        <w:t xml:space="preserve">各法定货币锚定的稳定币数量分布图示（截至研究时点）展示了稳定币按锚定币种的类别分布。从图中可见，</w:t>
      </w:r>
      <w:r>
        <w:rPr>
          <w:rFonts w:hint="eastAsia"/>
          <w:b/>
          <w:bCs/>
        </w:rPr>
        <w:t xml:space="preserve">美元锚定的稳定币占据绝对主导地位</w:t>
      </w:r>
      <w:r>
        <w:rPr>
          <w:rFonts w:hint="eastAsia"/>
        </w:rPr>
        <w:t xml:space="preserve">，无论是种类数量还是市值份额都接近垄断，非美元（如欧元、日元、港币等）锚定的稳定币仅占极小比例。这反映了当前稳定币需求主要围绕美元展开，与美元在国际经济中的主导地位相符。然而，为了深入分析未来稳定币需求的驱动力，我们需要根据应用场景将需求动因细分为三类：</w:t>
      </w:r>
    </w:p>
    <w:p>
      <w:pPr>
        <w:numPr>
          <w:ilvl w:val="0"/>
          <w:numId w:val="1001"/>
        </w:numPr>
      </w:pPr>
      <w:r>
        <w:rPr>
          <w:rFonts w:hint="eastAsia"/>
          <w:b/>
          <w:bCs/>
        </w:rPr>
        <w:t xml:space="preserve">跨境支付场景：</w:t>
      </w:r>
      <w:r>
        <w:rPr>
          <w:rFonts w:hint="eastAsia"/>
        </w:rPr>
        <w:t xml:space="preserve">指利用稳定币进行跨境汇款与支付的情形。在该场景下，稳定币以其</w:t>
      </w:r>
      <w:r>
        <w:rPr>
          <w:rFonts w:hint="eastAsia"/>
          <w:b/>
          <w:bCs/>
        </w:rPr>
        <w:t xml:space="preserve">低交易成本和实时到账</w:t>
      </w:r>
      <w:r>
        <w:rPr>
          <w:rFonts w:hint="eastAsia"/>
        </w:rPr>
        <w:t xml:space="preserve">优势满足跨境转账需求，尤其在传统汇款渠道缓慢昂贵的背景下更具竞争力。同时，稳定币规避了繁琐的外汇管制，可用于规避资本管制和制裁等特殊用途。但该场景下需求也受到</w:t>
      </w:r>
      <w:r>
        <w:rPr>
          <w:rFonts w:hint="eastAsia"/>
          <w:b/>
          <w:bCs/>
        </w:rPr>
        <w:t xml:space="preserve">监管政策</w:t>
      </w:r>
      <w:r>
        <w:rPr>
          <w:rFonts w:hint="eastAsia"/>
        </w:rPr>
        <w:t xml:space="preserve">的强烈影响：如果某一司法管辖区（如香港）对跨境稳定币交易发放牌照或明确法律地位，将极大促进这一领域的需求增长；反之严格限制则会抑制此类需求。</w:t>
      </w:r>
    </w:p>
    <w:p>
      <w:pPr>
        <w:numPr>
          <w:ilvl w:val="0"/>
          <w:numId w:val="1001"/>
        </w:numPr>
      </w:pPr>
      <w:r>
        <w:rPr>
          <w:rFonts w:hint="eastAsia"/>
          <w:b/>
          <w:bCs/>
        </w:rPr>
        <w:t xml:space="preserve">贸易结算场景：</w:t>
      </w:r>
      <w:r>
        <w:rPr>
          <w:rFonts w:hint="eastAsia"/>
        </w:rPr>
        <w:t xml:space="preserve">指企业间贸易往来中以稳定币作为结算介质的情形。稳定币作为</w:t>
      </w:r>
      <w:r>
        <w:rPr>
          <w:rFonts w:hint="eastAsia"/>
          <w:b/>
          <w:bCs/>
        </w:rPr>
        <w:t xml:space="preserve">法币替代物</w:t>
      </w:r>
      <w:r>
        <w:rPr>
          <w:rFonts w:hint="eastAsia"/>
        </w:rPr>
        <w:t xml:space="preserve">用于国际贸易结算，可减少依赖美元结算体系，提高结算效率并降低汇率转换成本。在这一场景下，需求驱动因素包括</w:t>
      </w:r>
      <w:r>
        <w:rPr>
          <w:rFonts w:hint="eastAsia"/>
          <w:b/>
          <w:bCs/>
        </w:rPr>
        <w:t xml:space="preserve">宏观经济和政策合作</w:t>
      </w:r>
      <w:r>
        <w:rPr>
          <w:rFonts w:hint="eastAsia"/>
        </w:rPr>
        <w:t xml:space="preserve">：例如，当两国存在较高的汇率波动或汇兑成本时，可能倾向使用稳定币结算；又如香港金管局推进稳定币牌照计划等政策事件，将提升贸易体系对非美元稳定币（如锚定人民币或港币的稳定币）的接受度，推动此类稳定币的发展。此外，多边项目（如BIS牵头的mBridge）和SWIFT的数字化升级也影响稳定币在贸易中的相对优势：若传统网络效率提升，稳定币的边际优势相对缩小。</w:t>
      </w:r>
    </w:p>
    <w:p>
      <w:pPr>
        <w:numPr>
          <w:ilvl w:val="0"/>
          <w:numId w:val="1001"/>
        </w:numPr>
      </w:pPr>
      <w:r>
        <w:rPr>
          <w:rFonts w:hint="eastAsia"/>
          <w:b/>
          <w:bCs/>
        </w:rPr>
        <w:t xml:space="preserve">储值场景：</w:t>
      </w:r>
      <w:r>
        <w:rPr>
          <w:rFonts w:hint="eastAsia"/>
        </w:rPr>
        <w:t xml:space="preserve">指个人或机构在高通胀、本币贬值环境下将稳定币作为价值储藏工具的情形。这一需求动因典型出现在新兴市场或发展中国家：当本币年通胀率高企、贬值预期强烈时，公众更倾向于购入与美元等硬通货挂钩的稳定币来对抗币值下跌。在该场景下，</w:t>
      </w:r>
      <w:r>
        <w:rPr>
          <w:rFonts w:hint="eastAsia"/>
          <w:b/>
          <w:bCs/>
        </w:rPr>
        <w:t xml:space="preserve">通胀率和本币汇率预期</w:t>
      </w:r>
      <w:r>
        <w:rPr>
          <w:rFonts w:hint="eastAsia"/>
        </w:rPr>
        <w:t xml:space="preserve">是主要驱动因素：本币实际利率为负时，稳定币（尤其美元稳定币）因其币值稳定更具吸引力，相当于“数字美元存款”。与此同时，</w:t>
      </w:r>
      <w:r>
        <w:rPr>
          <w:rFonts w:hint="eastAsia"/>
          <w:b/>
          <w:bCs/>
        </w:rPr>
        <w:t xml:space="preserve">利率差</w:t>
      </w:r>
      <w:r>
        <w:rPr>
          <w:rFonts w:hint="eastAsia"/>
        </w:rPr>
        <w:t xml:space="preserve">也是影响因素：如果某国法币存款利率显著低于美国利率水平，资金可能外流并通过稳定币持有美元资产。政策方面，监管对居民持有或兑换稳定币的态度会直接影响储值需求：例如若政府严格限制稳定币兑换，则需求受限；反之若政策默许或提供合规渠道，储值型需求将明显增加。</w:t>
      </w:r>
    </w:p>
    <w:p>
      <w:pPr>
        <w:pStyle w:val="FirstParagraph"/>
      </w:pPr>
      <w:r>
        <w:rPr>
          <w:rFonts w:hint="eastAsia"/>
        </w:rPr>
        <w:t xml:space="preserve">综上，我们划分的三类场景代表了稳定币需求的主要应用动因，各自对应不同的主导因素。在后续分析中，我们将结合这些场景，选取相应的宏观、政策与市场变量，构建模型来定量刻画稳定币需求随场景变化的驱动机制。</w:t>
      </w:r>
    </w:p>
    <w:bookmarkEnd w:id="21"/>
    <w:bookmarkStart w:id="37" w:name="因素选择"/>
    <w:p>
      <w:pPr>
        <w:pStyle w:val="Heading2"/>
      </w:pPr>
      <w:r>
        <w:t xml:space="preserve">5.2 </w:t>
      </w:r>
      <w:r>
        <w:rPr>
          <w:rFonts w:hint="eastAsia"/>
        </w:rPr>
        <w:t xml:space="preserve">因素选择</w:t>
      </w:r>
    </w:p>
    <w:p>
      <w:pPr>
        <w:pStyle w:val="FirstParagraph"/>
      </w:pPr>
      <w:r>
        <w:rPr>
          <w:rFonts w:hint="eastAsia"/>
        </w:rPr>
        <w:t xml:space="preserve">围绕上述场景动因，我们从宏观、政策、市场三方面筛选影响稳定币需求的关键因素，构建模型所需的特征变量。</w:t>
      </w:r>
    </w:p>
    <w:p>
      <w:pPr>
        <w:numPr>
          <w:ilvl w:val="0"/>
          <w:numId w:val="1002"/>
        </w:numPr>
      </w:pPr>
      <w:r>
        <w:rPr>
          <w:rFonts w:hint="eastAsia"/>
          <w:b/>
          <w:bCs/>
        </w:rPr>
        <w:t xml:space="preserve">宏观因素：</w:t>
      </w:r>
      <w:r>
        <w:rPr>
          <w:rFonts w:hint="eastAsia"/>
        </w:rPr>
        <w:t xml:space="preserve">考虑通胀、汇率和利差等反映宏观经济环境的指标。其中通胀率和利率差直接影响稳定币的储值需求：高通胀和低实际利率环境下，更多资金涌向稳定币避险。汇率因素则通过</w:t>
      </w:r>
      <w:r>
        <w:rPr>
          <w:rFonts w:hint="eastAsia"/>
          <w:b/>
          <w:bCs/>
        </w:rPr>
        <w:t xml:space="preserve">本币贬值预期</w:t>
      </w:r>
      <w:r>
        <w:rPr>
          <w:rFonts w:hint="eastAsia"/>
        </w:rPr>
        <w:t xml:space="preserve">影响稳定币偏好，我们用相关汇率变量的变化率表示。例如，以各锚定货币对美元汇率的</w:t>
      </w:r>
      <w:r>
        <w:rPr>
          <w:rFonts w:hint="eastAsia"/>
          <w:b/>
          <w:bCs/>
        </w:rPr>
        <w:t xml:space="preserve">对数变动率</w:t>
      </w:r>
      <w:r>
        <w:t xml:space="preserve">(</w:t>
      </w:r>
      <w:r>
        <w:rPr>
          <w:rStyle w:val="VerbatimChar"/>
        </w:rPr>
        <w:t xml:space="preserve">dlog_usd_per_anchor</w:t>
      </w:r>
      <w:r>
        <w:rPr>
          <w:rFonts w:hint="eastAsia"/>
        </w:rPr>
        <w:t xml:space="preserve">)表示该币值的升贬</w:t>
      </w:r>
      <w:hyperlink r:id="rId22">
        <w:r>
          <w:rPr>
            <w:rStyle w:val="Hyperlink"/>
          </w:rPr>
          <w:t xml:space="preserve">[1]</w:t>
        </w:r>
      </w:hyperlink>
      <w:hyperlink r:id="rId23">
        <w:r>
          <w:rPr>
            <w:rStyle w:val="Hyperlink"/>
          </w:rPr>
          <w:t xml:space="preserve">[2]</w:t>
        </w:r>
      </w:hyperlink>
      <w:r>
        <w:rPr>
          <w:rFonts w:hint="eastAsia"/>
        </w:rPr>
        <w:t xml:space="preserve">。实证结果显示，锚定货币相对美元</w:t>
      </w:r>
      <w:r>
        <w:rPr>
          <w:rFonts w:hint="eastAsia"/>
          <w:b/>
          <w:bCs/>
        </w:rPr>
        <w:t xml:space="preserve">升值1%时，当月该锚定币种的稳定币品种数平均增加约11.8个</w:t>
      </w:r>
      <w:r>
        <w:rPr>
          <w:rFonts w:hint="eastAsia"/>
        </w:rPr>
        <w:t xml:space="preserve">（表明本币走强有利于发行更多本币计价的稳定币，这可能是因为本币国际吸引力上升）。此外，我们纳入全球金融市场波动指标</w:t>
      </w:r>
      <w:r>
        <w:rPr>
          <w:rFonts w:hint="eastAsia"/>
          <w:b/>
          <w:bCs/>
        </w:rPr>
        <w:t xml:space="preserve">VIX指数</w:t>
      </w:r>
      <w:r>
        <w:rPr>
          <w:rFonts w:hint="eastAsia"/>
        </w:rPr>
        <w:t xml:space="preserve">和美元强弱指标</w:t>
      </w:r>
      <w:r>
        <w:rPr>
          <w:rFonts w:hint="eastAsia"/>
          <w:b/>
          <w:bCs/>
        </w:rPr>
        <w:t xml:space="preserve">美元指数DXY</w:t>
      </w:r>
      <w:r>
        <w:rPr>
          <w:rFonts w:hint="eastAsia"/>
        </w:rPr>
        <w:t xml:space="preserve">，用于捕捉</w:t>
      </w:r>
      <w:r>
        <w:rPr>
          <w:rFonts w:hint="eastAsia"/>
          <w:b/>
          <w:bCs/>
        </w:rPr>
        <w:t xml:space="preserve">风险偏好</w:t>
      </w:r>
      <w:r>
        <w:rPr>
          <w:rFonts w:hint="eastAsia"/>
        </w:rPr>
        <w:t xml:space="preserve">和</w:t>
      </w:r>
      <w:r>
        <w:rPr>
          <w:rFonts w:hint="eastAsia"/>
          <w:b/>
          <w:bCs/>
        </w:rPr>
        <w:t xml:space="preserve">避险需求</w:t>
      </w:r>
      <w:r>
        <w:rPr>
          <w:rFonts w:hint="eastAsia"/>
        </w:rPr>
        <w:t xml:space="preserve">的影响：较高的VIX往往对应避险情绪上升，按预期应提高对稳定币（尤其美元稳定币）的需求；美元指数上升则意味着美元走强，可能提升美元稳定币的吸引力或降低非美稳定币的竞争力。这些宏观变量均经过标准化处理（记作</w:t>
      </w:r>
      <w:r>
        <w:rPr>
          <w:rStyle w:val="VerbatimChar"/>
        </w:rPr>
        <w:t xml:space="preserve">z_VIX</w:t>
      </w:r>
      <w:r>
        <w:t xml:space="preserve">、</w:t>
      </w:r>
      <w:r>
        <w:rPr>
          <w:rStyle w:val="VerbatimChar"/>
        </w:rPr>
        <w:t xml:space="preserve">z_DXY</w:t>
      </w:r>
      <w:r>
        <w:rPr>
          <w:rFonts w:hint="eastAsia"/>
        </w:rPr>
        <w:t xml:space="preserve">等）以便于与其他指标共同建模</w:t>
      </w:r>
      <w:hyperlink r:id="rId24">
        <w:r>
          <w:rPr>
            <w:rStyle w:val="Hyperlink"/>
          </w:rPr>
          <w:t xml:space="preserve">[3]</w:t>
        </w:r>
      </w:hyperlink>
      <w:hyperlink r:id="rId25">
        <w:r>
          <w:rPr>
            <w:rStyle w:val="Hyperlink"/>
          </w:rPr>
          <w:t xml:space="preserve">[4]</w:t>
        </w:r>
      </w:hyperlink>
      <w:r>
        <w:t xml:space="preserve">。</w:t>
      </w:r>
    </w:p>
    <w:p>
      <w:pPr>
        <w:numPr>
          <w:ilvl w:val="0"/>
          <w:numId w:val="1002"/>
        </w:numPr>
      </w:pPr>
      <w:r>
        <w:rPr>
          <w:rFonts w:hint="eastAsia"/>
          <w:b/>
          <w:bCs/>
        </w:rPr>
        <w:t xml:space="preserve">政策因素：</w:t>
      </w:r>
      <w:r>
        <w:rPr>
          <w:rFonts w:hint="eastAsia"/>
        </w:rPr>
        <w:t xml:space="preserve">政策监管事件通过影响市场信心和准入门槛，塑造稳定币的发展轨迹。本研究构建了</w:t>
      </w:r>
      <w:r>
        <w:rPr>
          <w:rFonts w:hint="eastAsia"/>
          <w:b/>
          <w:bCs/>
        </w:rPr>
        <w:t xml:space="preserve">政策友好度指数</w:t>
      </w:r>
      <w:r>
        <w:rPr>
          <w:rFonts w:hint="eastAsia"/>
        </w:rPr>
        <w:t xml:space="preserve">来量化各法域针对稳定币的监管态度，例如香港推出稳定币牌照制度、美联储和欧洲监管机构出台的稳定币指导意见等。我们以分国家/地区的政策事件哑变量累计值表示监管环境成熟度，并进一步凝练出</w:t>
      </w:r>
      <w:r>
        <w:rPr>
          <w:rFonts w:hint="eastAsia"/>
          <w:b/>
          <w:bCs/>
        </w:rPr>
        <w:t xml:space="preserve">锚定货币层面的政策指数</w:t>
      </w:r>
      <w:r>
        <w:t xml:space="preserve">(</w:t>
      </w:r>
      <w:r>
        <w:rPr>
          <w:rStyle w:val="VerbatimChar"/>
        </w:rPr>
        <w:t xml:space="preserve">Pol_anchor</w:t>
      </w:r>
      <w:r>
        <w:rPr>
          <w:rFonts w:hint="eastAsia"/>
        </w:rPr>
        <w:t xml:space="preserve">)，取值范围从负向（严格禁令）到正向（法规完善）</w:t>
      </w:r>
      <w:hyperlink r:id="rId26">
        <w:r>
          <w:rPr>
            <w:rStyle w:val="Hyperlink"/>
          </w:rPr>
          <w:t xml:space="preserve">[5]</w:t>
        </w:r>
      </w:hyperlink>
      <w:hyperlink r:id="rId27">
        <w:r>
          <w:rPr>
            <w:rStyle w:val="Hyperlink"/>
          </w:rPr>
          <w:t xml:space="preserve">[6]</w:t>
        </w:r>
      </w:hyperlink>
      <w:r>
        <w:rPr>
          <w:rFonts w:hint="eastAsia"/>
        </w:rPr>
        <w:t xml:space="preserve">。为了在模型中反映政策对需求的滞后影响，我们使用其</w:t>
      </w:r>
      <w:r>
        <w:rPr>
          <w:rFonts w:hint="eastAsia"/>
          <w:b/>
          <w:bCs/>
        </w:rPr>
        <w:t xml:space="preserve">滞后一期</w:t>
      </w:r>
      <w:r>
        <w:t xml:space="preserve">(</w:t>
      </w:r>
      <w:r>
        <w:rPr>
          <w:rStyle w:val="VerbatimChar"/>
        </w:rPr>
        <w:t xml:space="preserve">Pol_anchor_l1</w:t>
      </w:r>
      <w:r>
        <w:rPr>
          <w:rFonts w:hint="eastAsia"/>
        </w:rPr>
        <w:t xml:space="preserve">)作为自变量</w:t>
      </w:r>
      <w:hyperlink r:id="rId28">
        <w:r>
          <w:rPr>
            <w:rStyle w:val="Hyperlink"/>
          </w:rPr>
          <w:t xml:space="preserve">[7]</w:t>
        </w:r>
      </w:hyperlink>
      <w:hyperlink r:id="rId29">
        <w:r>
          <w:rPr>
            <w:rStyle w:val="Hyperlink"/>
          </w:rPr>
          <w:t xml:space="preserve">[8]</w:t>
        </w:r>
      </w:hyperlink>
      <w:r>
        <w:rPr>
          <w:rFonts w:hint="eastAsia"/>
        </w:rPr>
        <w:t xml:space="preserve">。在计量结果中，</w:t>
      </w:r>
      <w:r>
        <w:rPr>
          <w:rStyle w:val="VerbatimChar"/>
        </w:rPr>
        <w:t xml:space="preserve">Pol_anchor_l1</w:t>
      </w:r>
      <w:r>
        <w:rPr>
          <w:rFonts w:hint="eastAsia"/>
        </w:rPr>
        <w:t xml:space="preserve">系数显著为正（约0.88，p&lt;0.001），意味着如果某锚定货币所在法域的监管环境每改善一个等级（例如从观望到制定法规），该币种下个月的新稳定币种类数将增加，政策友好度提高显著激发非美元稳定币的供给与需求。需要强调的是，政策因素还包括</w:t>
      </w:r>
      <w:r>
        <w:rPr>
          <w:rFonts w:hint="eastAsia"/>
          <w:b/>
          <w:bCs/>
        </w:rPr>
        <w:t xml:space="preserve">重大时间节点</w:t>
      </w:r>
      <w:r>
        <w:rPr>
          <w:rFonts w:hint="eastAsia"/>
        </w:rPr>
        <w:t xml:space="preserve">的脉冲冲击，例如香港金管局宣布接受稳定币牌照申请（赛题提及“已收到36家申请”）等。这类事件被纳入</w:t>
      </w:r>
      <w:r>
        <w:rPr>
          <w:rStyle w:val="VerbatimChar"/>
        </w:rPr>
        <w:t xml:space="preserve">Pol_anchor</w:t>
      </w:r>
      <w:r>
        <w:rPr>
          <w:rFonts w:hint="eastAsia"/>
        </w:rPr>
        <w:t xml:space="preserve">的构成中（通过政策阶段推进计分或脉冲哑元变量表示），可模拟单一重大政策的短期刺激效应。</w:t>
      </w:r>
    </w:p>
    <w:p>
      <w:pPr>
        <w:numPr>
          <w:ilvl w:val="0"/>
          <w:numId w:val="1002"/>
        </w:numPr>
      </w:pPr>
      <w:r>
        <w:rPr>
          <w:rFonts w:hint="eastAsia"/>
          <w:b/>
          <w:bCs/>
        </w:rPr>
        <w:t xml:space="preserve">市场因素：</w:t>
      </w:r>
      <w:r>
        <w:rPr>
          <w:rFonts w:hint="eastAsia"/>
        </w:rPr>
        <w:t xml:space="preserve">市场本身的链上活动和成本也影响稳定币需求。一方面，</w:t>
      </w:r>
      <w:r>
        <w:rPr>
          <w:rFonts w:hint="eastAsia"/>
          <w:b/>
          <w:bCs/>
        </w:rPr>
        <w:t xml:space="preserve">交易手续费和链上摩擦成本</w:t>
      </w:r>
      <w:r>
        <w:rPr>
          <w:rFonts w:hint="eastAsia"/>
        </w:rPr>
        <w:t xml:space="preserve">越低，使用稳定币的意愿越强。我们通过所有主流公链的平均交易费用加权指标</w:t>
      </w:r>
      <w:r>
        <w:rPr>
          <w:rStyle w:val="VerbatimChar"/>
        </w:rPr>
        <w:t xml:space="preserve">FEE_wgt</w:t>
      </w:r>
      <w:r>
        <w:rPr>
          <w:rFonts w:hint="eastAsia"/>
        </w:rPr>
        <w:t xml:space="preserve">来衡量链上交易成本，该指标按各链上稳定币存量占比对手续费进行加权计算</w:t>
      </w:r>
      <w:hyperlink r:id="rId30">
        <w:r>
          <w:rPr>
            <w:rStyle w:val="Hyperlink"/>
          </w:rPr>
          <w:t xml:space="preserve">[9]</w:t>
        </w:r>
      </w:hyperlink>
      <w:hyperlink r:id="rId31">
        <w:r>
          <w:rPr>
            <w:rStyle w:val="Hyperlink"/>
          </w:rPr>
          <w:t xml:space="preserve">[10]</w:t>
        </w:r>
      </w:hyperlink>
      <w:r>
        <w:rPr>
          <w:rFonts w:hint="eastAsia"/>
        </w:rPr>
        <w:t xml:space="preserve">；并进一步对其标准化得到</w:t>
      </w:r>
      <w:r>
        <w:rPr>
          <w:rStyle w:val="VerbatimChar"/>
        </w:rPr>
        <w:t xml:space="preserve">z_FEE_wgt</w:t>
      </w:r>
      <w:r>
        <w:rPr>
          <w:rFonts w:hint="eastAsia"/>
        </w:rPr>
        <w:t xml:space="preserve">。另一方面，</w:t>
      </w:r>
      <w:r>
        <w:rPr>
          <w:rFonts w:hint="eastAsia"/>
          <w:b/>
          <w:bCs/>
        </w:rPr>
        <w:t xml:space="preserve">链上活跃度</w:t>
      </w:r>
      <w:r>
        <w:rPr>
          <w:rFonts w:hint="eastAsia"/>
        </w:rPr>
        <w:t xml:space="preserve">和跨链流动性体现市场对稳定币的接受程度。我们采用</w:t>
      </w:r>
      <w:r>
        <w:rPr>
          <w:rFonts w:hint="eastAsia"/>
          <w:b/>
          <w:bCs/>
        </w:rPr>
        <w:t xml:space="preserve">去中心化交易量</w:t>
      </w:r>
      <w:r>
        <w:t xml:space="preserve">(</w:t>
      </w:r>
      <w:r>
        <w:rPr>
          <w:rStyle w:val="VerbatimChar"/>
        </w:rPr>
        <w:t xml:space="preserve">DEX</w:t>
      </w:r>
      <w:r>
        <w:rPr>
          <w:rFonts w:hint="eastAsia"/>
        </w:rPr>
        <w:t xml:space="preserve">交易额取对数</w:t>
      </w:r>
      <w:r>
        <w:rPr>
          <w:rStyle w:val="VerbatimChar"/>
        </w:rPr>
        <w:t xml:space="preserve">log_DEX</w:t>
      </w:r>
      <w:r>
        <w:rPr>
          <w:rFonts w:hint="eastAsia"/>
        </w:rPr>
        <w:t xml:space="preserve">)代表链上活跃度</w:t>
      </w:r>
      <w:hyperlink r:id="rId32">
        <w:r>
          <w:rPr>
            <w:rStyle w:val="Hyperlink"/>
          </w:rPr>
          <w:t xml:space="preserve">[11]</w:t>
        </w:r>
      </w:hyperlink>
      <w:hyperlink r:id="rId33">
        <w:r>
          <w:rPr>
            <w:rStyle w:val="Hyperlink"/>
          </w:rPr>
          <w:t xml:space="preserve">[12]</w:t>
        </w:r>
      </w:hyperlink>
      <w:r>
        <w:rPr>
          <w:rFonts w:hint="eastAsia"/>
        </w:rPr>
        <w:t xml:space="preserve">；采用跨链桥净流入占总市值比例表示跨链流动强度（并标准化为</w:t>
      </w:r>
      <w:r>
        <w:rPr>
          <w:rStyle w:val="VerbatimChar"/>
        </w:rPr>
        <w:t xml:space="preserve">z_BRIDGE</w:t>
      </w:r>
      <w:r>
        <w:rPr>
          <w:rFonts w:hint="eastAsia"/>
        </w:rPr>
        <w:t xml:space="preserve">）</w:t>
      </w:r>
      <w:hyperlink r:id="rId34">
        <w:r>
          <w:rPr>
            <w:rStyle w:val="Hyperlink"/>
          </w:rPr>
          <w:t xml:space="preserve">[13]</w:t>
        </w:r>
      </w:hyperlink>
      <w:r>
        <w:rPr>
          <w:rFonts w:hint="eastAsia"/>
        </w:rPr>
        <w:t xml:space="preserve">。这些市场变量反映稳定币在加密生态系统内的</w:t>
      </w:r>
      <w:r>
        <w:rPr>
          <w:rFonts w:hint="eastAsia"/>
          <w:b/>
          <w:bCs/>
        </w:rPr>
        <w:t xml:space="preserve">使用深度</w:t>
      </w:r>
      <w:r>
        <w:rPr>
          <w:rFonts w:hint="eastAsia"/>
        </w:rPr>
        <w:t xml:space="preserve">：更高的DEX交易量和跨链流动通常意味着对稳定币的需求更高，因为稳定币是DeFi和跨链活动中的关键媒介。尤其在跨境支付场景下，活跃的链上市场可以降低使用稳定币的摩擦（有人将稳定币通过去中心化交易所或跨链桥兑换成本地法币），从而进一步推动需求。</w:t>
      </w:r>
    </w:p>
    <w:p>
      <w:pPr>
        <w:pStyle w:val="FirstParagraph"/>
      </w:pPr>
      <w:r>
        <w:rPr>
          <w:rFonts w:hint="eastAsia"/>
        </w:rPr>
        <w:t xml:space="preserve">综上所述，我们选取的特征覆盖了影响稳定币需求的主要方面：【宏观】通胀/汇率/利差及全球风险偏好，【政策】监管事件和制度环境，【市场】链上交易成本和活跃度。这些变量在数据预处理中进行了适当变换与标准化，以确保量纲一致并消除异方差和非线性。例如，对规模和交易量取对数、对波动率和指数类变量进行Z分数标准化，且对份额数据做Logit转换处理等</w:t>
      </w:r>
      <w:hyperlink r:id="rId35">
        <w:r>
          <w:rPr>
            <w:rStyle w:val="Hyperlink"/>
          </w:rPr>
          <w:t xml:space="preserve">[14]</w:t>
        </w:r>
      </w:hyperlink>
      <w:hyperlink r:id="rId36">
        <w:r>
          <w:rPr>
            <w:rStyle w:val="Hyperlink"/>
          </w:rPr>
          <w:t xml:space="preserve">[15]</w:t>
        </w:r>
      </w:hyperlink>
      <w:r>
        <w:rPr>
          <w:rFonts w:hint="eastAsia"/>
        </w:rPr>
        <w:t xml:space="preserve">。上述精心挑选与处理的因素为后续建模提供了坚实基础。</w:t>
      </w:r>
    </w:p>
    <w:bookmarkEnd w:id="37"/>
    <w:bookmarkStart w:id="52" w:name="方法与检验"/>
    <w:p>
      <w:pPr>
        <w:pStyle w:val="Heading2"/>
      </w:pPr>
      <w:r>
        <w:t xml:space="preserve">5.3 </w:t>
      </w:r>
      <w:r>
        <w:rPr>
          <w:rFonts w:hint="eastAsia"/>
        </w:rPr>
        <w:t xml:space="preserve">方法与检验</w:t>
      </w:r>
    </w:p>
    <w:p>
      <w:pPr>
        <w:pStyle w:val="FirstParagraph"/>
      </w:pPr>
      <w:r>
        <w:rPr>
          <w:rFonts w:hint="eastAsia"/>
        </w:rPr>
        <w:t xml:space="preserve">针对稳定币需求的预测，我们构建了包含</w:t>
      </w:r>
      <w:r>
        <w:rPr>
          <w:rFonts w:hint="eastAsia"/>
          <w:b/>
          <w:bCs/>
        </w:rPr>
        <w:t xml:space="preserve">时间序列子模型、面板计数子模型和市场份额子模型</w:t>
      </w:r>
      <w:r>
        <w:rPr>
          <w:rFonts w:hint="eastAsia"/>
        </w:rPr>
        <w:t xml:space="preserve">在内的综合预测框架，结合机器学习方法辅助验证。模型估计过程中严格遵循项目实现的流程与算法，未额外引入赛题未要求的方法（如VAR、ARIMA等），以确保结论的可靠性和可解释性。</w:t>
      </w:r>
    </w:p>
    <w:p>
      <w:pPr>
        <w:pStyle w:val="BodyText"/>
      </w:pPr>
      <w:r>
        <w:rPr>
          <w:b/>
          <w:bCs/>
        </w:rPr>
        <w:t xml:space="preserve">(1) </w:t>
      </w:r>
      <w:r>
        <w:rPr>
          <w:rFonts w:hint="eastAsia"/>
          <w:b/>
          <w:bCs/>
        </w:rPr>
        <w:t xml:space="preserve">时间序列ARDL/ECM模型：</w:t>
      </w:r>
      <w:r>
        <w:rPr>
          <w:rFonts w:hint="eastAsia"/>
        </w:rPr>
        <w:t xml:space="preserve">我们采用自回归分布滞后模型（ARDL）捕捉</w:t>
      </w:r>
      <w:r>
        <w:rPr>
          <w:rFonts w:hint="eastAsia"/>
          <w:b/>
          <w:bCs/>
        </w:rPr>
        <w:t xml:space="preserve">美元挂钩稳定币</w:t>
      </w:r>
      <w:r>
        <w:rPr>
          <w:rFonts w:hint="eastAsia"/>
        </w:rPr>
        <w:t xml:space="preserve">和</w:t>
      </w:r>
      <w:r>
        <w:rPr>
          <w:rFonts w:hint="eastAsia"/>
          <w:b/>
          <w:bCs/>
        </w:rPr>
        <w:t xml:space="preserve">非美元挂钩稳定币</w:t>
      </w:r>
      <w:r>
        <w:rPr>
          <w:rFonts w:hint="eastAsia"/>
        </w:rPr>
        <w:t xml:space="preserve">市场规模的动态演化。ARDL模型能够同时建模短期波动和长期均衡关系，并可在存在协整关系时转化为误差修正模型(ECM)。具体实现上，以月度美元稳定币总市值</w:t>
      </w:r>
      <w:r>
        <w:rPr>
          <w:rStyle w:val="VerbatimChar"/>
        </w:rPr>
        <w:t xml:space="preserve">S_USD</w:t>
      </w:r>
      <w:r>
        <w:rPr>
          <w:rFonts w:hint="eastAsia"/>
        </w:rPr>
        <w:t xml:space="preserve">和非美元稳定币总市值</w:t>
      </w:r>
      <w:r>
        <w:rPr>
          <w:rStyle w:val="VerbatimChar"/>
        </w:rPr>
        <w:t xml:space="preserve">S_nonUSD</w:t>
      </w:r>
      <w:r>
        <w:rPr>
          <w:rFonts w:hint="eastAsia"/>
        </w:rPr>
        <w:t xml:space="preserve">的对数为因变量，各类宏观、政策、市场自变量的滞后项（详见5.2节）构成X矩阵</w:t>
      </w:r>
      <w:hyperlink r:id="rId38">
        <w:r>
          <w:rPr>
            <w:rStyle w:val="Hyperlink"/>
          </w:rPr>
          <w:t xml:space="preserve">[16]</w:t>
        </w:r>
      </w:hyperlink>
      <w:hyperlink r:id="rId39">
        <w:r>
          <w:rPr>
            <w:rStyle w:val="Hyperlink"/>
          </w:rPr>
          <w:t xml:space="preserve">[17]</w:t>
        </w:r>
      </w:hyperlink>
      <w:r>
        <w:rPr>
          <w:rFonts w:hint="eastAsia"/>
        </w:rPr>
        <w:t xml:space="preserve">。我们运用BIC信息准则自动选择最佳滞后阶数p、q</w:t>
      </w:r>
      <w:hyperlink r:id="rId40">
        <w:r>
          <w:rPr>
            <w:rStyle w:val="Hyperlink"/>
          </w:rPr>
          <w:t xml:space="preserve">[18]</w:t>
        </w:r>
      </w:hyperlink>
      <w:hyperlink r:id="rId41">
        <w:r>
          <w:rPr>
            <w:rStyle w:val="Hyperlink"/>
          </w:rPr>
          <w:t xml:space="preserve">[19]</w:t>
        </w:r>
      </w:hyperlink>
      <w:r>
        <w:rPr>
          <w:rFonts w:hint="eastAsia"/>
        </w:rPr>
        <w:t xml:space="preserve">，避免人工设定带来的偏差。选定滞后后，模型形式例如对于USD稳定币规模：</w:t>
      </w:r>
    </w:p>
    <w:p>
      <w:pPr>
        <w:pStyle w:val="BodyText"/>
      </w:pPr>
      <m:oMathPara>
        <m:oMathParaPr>
          <m:jc m:val="center"/>
        </m:oMathParaPr>
        <m:oMath>
          <m:r>
            <m:t>Δ</m:t>
          </m:r>
          <m:r>
            <m:rPr>
              <m:sty m:val="p"/>
            </m:rPr>
            <m:t>ln</m:t>
          </m:r>
          <m:sSubSup>
            <m:e>
              <m:r>
                <m:t>S</m:t>
              </m:r>
            </m:e>
            <m:sub>
              <m:r>
                <m:t>t</m:t>
              </m:r>
            </m:sub>
            <m:sup>
              <m:r>
                <m:t>U</m:t>
              </m:r>
              <m:r>
                <m:t>S</m:t>
              </m:r>
              <m:r>
                <m:t>D</m:t>
              </m:r>
            </m:sup>
          </m:sSubSup>
          <m:r>
            <m:rPr>
              <m:sty m:val="p"/>
            </m:rPr>
            <m:t>=</m:t>
          </m:r>
          <m:r>
            <m:t>α</m:t>
          </m:r>
          <m:r>
            <m:rPr>
              <m:sty m:val="p"/>
            </m:rPr>
            <m:t>+</m:t>
          </m:r>
          <m:r>
            <m:t>β</m:t>
          </m:r>
          <m:r>
            <m:rPr>
              <m:sty m:val="p"/>
            </m:rPr>
            <m:t>⋅</m:t>
          </m:r>
          <m:r>
            <m:t>E</m:t>
          </m:r>
          <m:r>
            <m:t>C</m:t>
          </m:r>
          <m:sSub>
            <m:e>
              <m:r>
                <m:t>T</m:t>
              </m:r>
            </m:e>
            <m:sub>
              <m:r>
                <m:t>t</m:t>
              </m:r>
              <m:r>
                <m:rPr>
                  <m:sty m:val="p"/>
                </m:rPr>
                <m:t>−</m:t>
              </m:r>
              <m:r>
                <m:t>1</m:t>
              </m:r>
            </m:sub>
          </m:sSub>
          <m:r>
            <m:rPr>
              <m:sty m:val="p"/>
            </m:rPr>
            <m:t>+</m:t>
          </m:r>
          <m:nary>
            <m:naryPr>
              <m:chr m:val="∑"/>
              <m:limLoc m:val="undOvr"/>
              <m:subHide m:val="off"/>
              <m:supHide m:val="off"/>
            </m:naryPr>
            <m:sub>
              <m:r>
                <m:t>i</m:t>
              </m:r>
              <m:r>
                <m:rPr>
                  <m:sty m:val="p"/>
                </m:rPr>
                <m:t>=</m:t>
              </m:r>
              <m:r>
                <m:t>1</m:t>
              </m:r>
            </m:sub>
            <m:sup>
              <m:r>
                <m:t>p</m:t>
              </m:r>
              <m:r>
                <m:rPr>
                  <m:sty m:val="p"/>
                </m:rPr>
                <m:t>−</m:t>
              </m:r>
              <m:r>
                <m:t>1</m:t>
              </m:r>
            </m:sup>
            <m:e>
              <m:sSub>
                <m:e>
                  <m:r>
                    <m:t>ϕ</m:t>
                  </m:r>
                </m:e>
                <m:sub>
                  <m:r>
                    <m:t>i</m:t>
                  </m:r>
                </m:sub>
              </m:sSub>
            </m:e>
          </m:nary>
          <m:r>
            <m:t>Δ</m:t>
          </m:r>
          <m:r>
            <m:rPr>
              <m:sty m:val="p"/>
            </m:rPr>
            <m:t>ln</m:t>
          </m:r>
          <m:sSubSup>
            <m:e>
              <m:r>
                <m:t>S</m:t>
              </m:r>
            </m:e>
            <m:sub>
              <m:r>
                <m:t>t</m:t>
              </m:r>
              <m:r>
                <m:rPr>
                  <m:sty m:val="p"/>
                </m:rPr>
                <m:t>−</m:t>
              </m:r>
              <m:r>
                <m:t>i</m:t>
              </m:r>
            </m:sub>
            <m:sup>
              <m:r>
                <m:t>U</m:t>
              </m:r>
              <m:r>
                <m:t>S</m:t>
              </m:r>
              <m:r>
                <m:t>D</m:t>
              </m:r>
            </m:sup>
          </m:sSubSup>
          <m:r>
            <m:rPr>
              <m:sty m:val="p"/>
            </m:rPr>
            <m:t>+</m:t>
          </m:r>
          <m:nary>
            <m:naryPr>
              <m:chr m:val="∑"/>
              <m:limLoc m:val="undOvr"/>
              <m:subHide m:val="off"/>
              <m:supHide m:val="off"/>
            </m:naryPr>
            <m:sub>
              <m:r>
                <m:t>j</m:t>
              </m:r>
              <m:r>
                <m:rPr>
                  <m:sty m:val="p"/>
                </m:rPr>
                <m:t>=</m:t>
              </m:r>
              <m:r>
                <m:t>0</m:t>
              </m:r>
            </m:sub>
            <m:sup>
              <m:r>
                <m:t>q</m:t>
              </m:r>
            </m:sup>
            <m:e>
              <m:nary>
                <m:naryPr>
                  <m:chr m:val="∑"/>
                  <m:limLoc m:val="undOvr"/>
                  <m:subHide m:val="off"/>
                  <m:supHide m:val="on"/>
                </m:naryPr>
                <m:sub>
                  <m:r>
                    <m:t>k</m:t>
                  </m:r>
                </m:sub>
                <m:sup>
                  <m:r>
                    <m:t>​</m:t>
                  </m:r>
                </m:sup>
                <m:e>
                  <m:sSub>
                    <m:e>
                      <m:r>
                        <m:t>θ</m:t>
                      </m:r>
                    </m:e>
                    <m:sub>
                      <m:r>
                        <m:t>j</m:t>
                      </m:r>
                      <m:r>
                        <m:t>k</m:t>
                      </m:r>
                    </m:sub>
                  </m:sSub>
                </m:e>
              </m:nary>
            </m:e>
          </m:nary>
          <m:r>
            <m:t>Δ</m:t>
          </m:r>
          <m:sSubSup>
            <m:e>
              <m:r>
                <m:t>X</m:t>
              </m:r>
            </m:e>
            <m:sub>
              <m:r>
                <m:t>t</m:t>
              </m:r>
              <m:r>
                <m:rPr>
                  <m:sty m:val="p"/>
                </m:rPr>
                <m:t>−</m:t>
              </m:r>
              <m:r>
                <m:t>j</m:t>
              </m:r>
            </m:sub>
            <m:sup>
              <m:d>
                <m:dPr>
                  <m:begChr m:val="("/>
                  <m:sepChr m:val=""/>
                  <m:endChr m:val=")"/>
                  <m:grow/>
                </m:dPr>
                <m:e>
                  <m:r>
                    <m:t>k</m:t>
                  </m:r>
                </m:e>
              </m:d>
            </m:sup>
          </m:sSubSup>
          <m:r>
            <m:rPr>
              <m:sty m:val="p"/>
            </m:rPr>
            <m:t>+</m:t>
          </m:r>
          <m:sSub>
            <m:e>
              <m:r>
                <m:t>ε</m:t>
              </m:r>
            </m:e>
            <m:sub>
              <m:r>
                <m:t>t</m:t>
              </m:r>
            </m:sub>
          </m:sSub>
          <m:r>
            <m:rPr>
              <m:sty m:val="p"/>
            </m:rPr>
            <m:t>,</m:t>
          </m:r>
        </m:oMath>
      </m:oMathPara>
    </w:p>
    <w:p>
      <w:pPr>
        <w:pStyle w:val="FirstParagraph"/>
      </w:pPr>
      <w:r>
        <w:rPr>
          <w:rFonts w:hint="eastAsia"/>
        </w:rPr>
        <w:t xml:space="preserve">其中$ECT_{t-1}$为上期残差（反映$\ln</w:t>
      </w:r>
      <w:r>
        <w:t xml:space="preserve"> </w:t>
      </w:r>
      <w:r>
        <w:rPr>
          <w:rFonts w:hint="eastAsia"/>
        </w:rPr>
        <w:t xml:space="preserve">S^{USD}$与自变量长期关系偏离程度）。上述ECM形式强调当币值偏离长期均衡时，将以速度$\beta$向均衡回归。模型估计后，我们进行了协整Bounds检验，结果支持存在长期协整关系</w:t>
      </w:r>
      <w:hyperlink r:id="rId42">
        <w:r>
          <w:rPr>
            <w:rStyle w:val="Hyperlink"/>
          </w:rPr>
          <w:t xml:space="preserve">[20]</w:t>
        </w:r>
      </w:hyperlink>
      <w:hyperlink r:id="rId43">
        <w:r>
          <w:rPr>
            <w:rStyle w:val="Hyperlink"/>
          </w:rPr>
          <w:t xml:space="preserve">[21]</w:t>
        </w:r>
      </w:hyperlink>
      <w:r>
        <w:rPr>
          <w:rFonts w:hint="eastAsia"/>
        </w:rPr>
        <w:t xml:space="preserve">。因此提取误差修正项进行动态预测成为可能。我们对模型残差进行了异方差和自相关检验，并采用HAC稳健标准误控制序列相关影响。经过反复调试，ARDL模型对历史样本拟合良好（调整$R^2$在0.9以上），拟合的长期系数符号亦符合经济预期。需要注意的是，我们未直接采用ARIMA或VAR模型进行时间序列预测，因为ARDL/ECM在有限样本下对结构变化更为健壮，且能够明确纳入外生变量，符合赛题对</w:t>
      </w:r>
      <w:r>
        <w:rPr>
          <w:rFonts w:hint="eastAsia"/>
          <w:b/>
          <w:bCs/>
        </w:rPr>
        <w:t xml:space="preserve">外生冲击情景</w:t>
      </w:r>
      <w:r>
        <w:rPr>
          <w:rFonts w:hint="eastAsia"/>
        </w:rPr>
        <w:t xml:space="preserve">的分析需求。</w:t>
      </w:r>
    </w:p>
    <w:p>
      <w:pPr>
        <w:pStyle w:val="BodyText"/>
      </w:pPr>
      <w:r>
        <w:rPr>
          <w:b/>
          <w:bCs/>
        </w:rPr>
        <w:t xml:space="preserve">(2) </w:t>
      </w:r>
      <w:r>
        <w:rPr>
          <w:rFonts w:hint="eastAsia"/>
          <w:b/>
          <w:bCs/>
        </w:rPr>
        <w:t xml:space="preserve">面板计数模型：</w:t>
      </w:r>
      <w:r>
        <w:rPr>
          <w:rFonts w:hint="eastAsia"/>
        </w:rPr>
        <w:t xml:space="preserve">为了分析</w:t>
      </w:r>
      <w:r>
        <w:rPr>
          <w:rFonts w:hint="eastAsia"/>
          <w:b/>
          <w:bCs/>
        </w:rPr>
        <w:t xml:space="preserve">不同锚定币种的稳定币数量</w:t>
      </w:r>
      <w:r>
        <w:rPr>
          <w:rFonts w:hint="eastAsia"/>
        </w:rPr>
        <w:t xml:space="preserve">（品类数）随影响因素的关系，我们构建了以锚定货币-月份为面板维度的计数回归模型。因变量为每个月市场上活跃的特定锚定货币稳定币品种数$N_{\text{anchor},t}$，自变量包括上一节讨论的</w:t>
      </w:r>
      <w:r>
        <w:rPr>
          <w:rStyle w:val="VerbatimChar"/>
        </w:rPr>
        <w:t xml:space="preserve">Pol_anchor_l1</w:t>
      </w:r>
      <w:r>
        <w:t xml:space="preserve">、</w:t>
      </w:r>
      <w:r>
        <w:rPr>
          <w:rStyle w:val="VerbatimChar"/>
        </w:rPr>
        <w:t xml:space="preserve">sigma_offpeg_l1</w:t>
      </w:r>
      <w:r>
        <w:rPr>
          <w:rFonts w:hint="eastAsia"/>
        </w:rPr>
        <w:t xml:space="preserve">（脱锚波动率滞后）、</w:t>
      </w:r>
      <w:r>
        <w:rPr>
          <w:rStyle w:val="VerbatimChar"/>
        </w:rPr>
        <w:t xml:space="preserve">tail1_l1</w:t>
      </w:r>
      <w:r>
        <w:rPr>
          <w:rFonts w:hint="eastAsia"/>
        </w:rPr>
        <w:t xml:space="preserve">（1%脱锚尾部风险滞后）等锚定币种特有因素，以及当月的全球宏观和市场控制变量（如</w:t>
      </w:r>
      <w:r>
        <w:rPr>
          <w:rStyle w:val="VerbatimChar"/>
        </w:rPr>
        <w:t xml:space="preserve">log_DEX</w:t>
      </w:r>
      <w:r>
        <w:t xml:space="preserve">、</w:t>
      </w:r>
      <w:r>
        <w:rPr>
          <w:rStyle w:val="VerbatimChar"/>
        </w:rPr>
        <w:t xml:space="preserve">z_DXY</w:t>
      </w:r>
      <w:r>
        <w:t xml:space="preserve">、</w:t>
      </w:r>
      <w:r>
        <w:rPr>
          <w:rStyle w:val="VerbatimChar"/>
        </w:rPr>
        <w:t xml:space="preserve">z_VIX</w:t>
      </w:r>
      <w:r>
        <w:rPr>
          <w:rFonts w:hint="eastAsia"/>
        </w:rPr>
        <w:t xml:space="preserve">等）。为控制不同锚定货币固有的长期差异，我们引入</w:t>
      </w:r>
      <w:r>
        <w:rPr>
          <w:rFonts w:hint="eastAsia"/>
          <w:b/>
          <w:bCs/>
        </w:rPr>
        <w:t xml:space="preserve">Anchor固定效应</w:t>
      </w:r>
      <w:r>
        <w:rPr>
          <w:rFonts w:hint="eastAsia"/>
        </w:rPr>
        <w:t xml:space="preserve">，对每个锚定货币设置截距哑变量，从而隔离法定货币固有特性的影响</w:t>
      </w:r>
      <w:hyperlink r:id="rId44">
        <w:r>
          <w:rPr>
            <w:rStyle w:val="Hyperlink"/>
          </w:rPr>
          <w:t xml:space="preserve">[22]</w:t>
        </w:r>
      </w:hyperlink>
      <w:hyperlink r:id="rId45">
        <w:r>
          <w:rPr>
            <w:rStyle w:val="Hyperlink"/>
          </w:rPr>
          <w:t xml:space="preserve">[23]</w:t>
        </w:r>
      </w:hyperlink>
      <w:r>
        <w:rPr>
          <w:rFonts w:hint="eastAsia"/>
        </w:rPr>
        <w:t xml:space="preserve">。鉴于$N_{\text{anchor},t}$为非负整数，我们采用广义线性模型中的泊松回归，并考虑过度离散的可能：首先计算样本</w:t>
      </w:r>
      <w:r>
        <w:rPr>
          <w:rFonts w:hint="eastAsia"/>
          <w:b/>
          <w:bCs/>
        </w:rPr>
        <w:t xml:space="preserve">超泊松离散程度</w:t>
      </w:r>
      <w:r>
        <w:rPr>
          <w:rFonts w:hint="eastAsia"/>
        </w:rPr>
        <w:t xml:space="preserve">（判断条件：方差/均值</w:t>
      </w:r>
      <w:r>
        <w:t xml:space="preserve"> &gt; </w:t>
      </w:r>
      <w:r>
        <w:rPr>
          <w:rFonts w:hint="eastAsia"/>
        </w:rPr>
        <w:t xml:space="preserve">1.5）</w:t>
      </w:r>
      <w:hyperlink r:id="rId45">
        <w:r>
          <w:rPr>
            <w:rStyle w:val="Hyperlink"/>
          </w:rPr>
          <w:t xml:space="preserve">[23]</w:t>
        </w:r>
      </w:hyperlink>
      <w:r>
        <w:rPr>
          <w:rFonts w:hint="eastAsia"/>
        </w:rPr>
        <w:t xml:space="preserve">。实际数据中方差与均值比约为2.3，显示存在过度离散，因此我们优先尝试了</w:t>
      </w:r>
      <w:r>
        <w:rPr>
          <w:rFonts w:hint="eastAsia"/>
          <w:b/>
          <w:bCs/>
        </w:rPr>
        <w:t xml:space="preserve">负二项回归</w:t>
      </w:r>
      <w:r>
        <w:rPr>
          <w:rFonts w:hint="eastAsia"/>
        </w:rPr>
        <w:t xml:space="preserve">以放松等方差假定</w:t>
      </w:r>
      <w:hyperlink r:id="rId46">
        <w:r>
          <w:rPr>
            <w:rStyle w:val="Hyperlink"/>
          </w:rPr>
          <w:t xml:space="preserve">[24]</w:t>
        </w:r>
      </w:hyperlink>
      <w:r>
        <w:rPr>
          <w:rFonts w:hint="eastAsia"/>
        </w:rPr>
        <w:t xml:space="preserve">。模型估计采用极大似然法(BFGS优化)，若负二项模型收敛则优先采用；若出现收敛问题则回退采用泊松。经检验，我们的负二项模型顺利收敛，拟合优度提升，因而最终采用带固定效应的负二项模型（如未收敛则会退回泊松模型以保证稳健性</w:t>
      </w:r>
      <w:hyperlink r:id="rId47">
        <w:r>
          <w:rPr>
            <w:rStyle w:val="Hyperlink"/>
          </w:rPr>
          <w:t xml:space="preserve">[25]</w:t>
        </w:r>
      </w:hyperlink>
      <w:r>
        <w:rPr>
          <w:rFonts w:hint="eastAsia"/>
        </w:rPr>
        <w:t xml:space="preserve">）。计数模型的结果表明，</w:t>
      </w:r>
      <w:r>
        <w:rPr>
          <w:rFonts w:hint="eastAsia"/>
          <w:b/>
          <w:bCs/>
        </w:rPr>
        <w:t xml:space="preserve">政策指数</w:t>
      </w:r>
      <w:r>
        <w:rPr>
          <w:rFonts w:hint="eastAsia"/>
        </w:rPr>
        <w:t xml:space="preserve">和</w:t>
      </w:r>
      <w:r>
        <w:rPr>
          <w:rFonts w:hint="eastAsia"/>
          <w:b/>
          <w:bCs/>
        </w:rPr>
        <w:t xml:space="preserve">脱锚稳定性</w:t>
      </w:r>
      <w:r>
        <w:rPr>
          <w:rFonts w:hint="eastAsia"/>
        </w:rPr>
        <w:t xml:space="preserve">对稳定币品种数的影响高度显著：</w:t>
      </w:r>
      <w:r>
        <w:rPr>
          <w:rStyle w:val="VerbatimChar"/>
        </w:rPr>
        <w:t xml:space="preserve">Pol_anchor_l1</w:t>
      </w:r>
      <w:r>
        <w:rPr>
          <w:rFonts w:hint="eastAsia"/>
        </w:rPr>
        <w:t xml:space="preserve">系数约0.47且$p&lt;0.001</w:t>
      </w:r>
      <w:r>
        <w:rPr>
          <w:rStyle w:val="VerbatimChar"/>
          <w:rFonts w:hint="eastAsia"/>
        </w:rPr>
        <w:t xml:space="preserve">，</w:t>
      </w:r>
      <w:r>
        <w:rPr>
          <w:rFonts w:hint="eastAsia"/>
        </w:rPr>
        <w:t xml:space="preserve">sigma_offpeg_l1`系数约0.17（$p&lt;0.001$），意味着监管环境每提升一个单位，预期稳定币品类数增加约$e^{0.47}-1\approx60\%$，而脱锚波动率每降低1个百分点，品类数增加约18%。此外，锚定货币汇率相对美元每上升1%亦显著提高品类数（弹性系数约11.85，)。这些发现符合预期：</w:t>
      </w:r>
      <w:r>
        <w:rPr>
          <w:rFonts w:hint="eastAsia"/>
          <w:b/>
          <w:bCs/>
        </w:rPr>
        <w:t xml:space="preserve">宽松监管和汇率走强会激励更多非美稳定币发行，而锚定稳定性越高（波动小），该币种更可能吸引新进入者。</w:t>
      </w:r>
      <w:r>
        <w:rPr>
          <w:rFonts w:hint="eastAsia"/>
        </w:rPr>
        <w:t xml:space="preserve">模型的Pseudo</w:t>
      </w:r>
      <w:r>
        <w:t xml:space="preserve"> </w:t>
      </w:r>
      <w:r>
        <w:rPr>
          <w:rFonts w:hint="eastAsia"/>
        </w:rPr>
        <w:t xml:space="preserve">$R^2$约为0.21，考虑到计数数据的离散性，这一解释力尚属合理。我们对计数模型采用聚类稳健标准误（按锚定货币聚类）来应对面板异质性，并通过似然比检验验证了固定效应的必要性。</w:t>
      </w:r>
    </w:p>
    <w:p>
      <w:pPr>
        <w:pStyle w:val="BodyText"/>
      </w:pPr>
      <w:r>
        <w:rPr>
          <w:b/>
          <w:bCs/>
        </w:rPr>
        <w:t xml:space="preserve">(3) </w:t>
      </w:r>
      <w:r>
        <w:rPr>
          <w:rFonts w:hint="eastAsia"/>
          <w:b/>
          <w:bCs/>
        </w:rPr>
        <w:t xml:space="preserve">市场份额2SLS模型：</w:t>
      </w:r>
      <w:r>
        <w:rPr>
          <w:rFonts w:hint="eastAsia"/>
        </w:rPr>
        <w:t xml:space="preserve">为了研究</w:t>
      </w:r>
      <w:r>
        <w:rPr>
          <w:rFonts w:hint="eastAsia"/>
          <w:b/>
          <w:bCs/>
        </w:rPr>
        <w:t xml:space="preserve">美元稳定币份额</w:t>
      </w:r>
      <w:r>
        <w:rPr>
          <w:rFonts w:hint="eastAsia"/>
        </w:rPr>
        <w:t xml:space="preserve">随非美稳定币发展的变化，我们建立了二维的</w:t>
      </w:r>
      <w:r>
        <w:rPr>
          <w:rFonts w:hint="eastAsia"/>
          <w:b/>
          <w:bCs/>
        </w:rPr>
        <w:t xml:space="preserve">两阶段最小二乘(2SLS)</w:t>
      </w:r>
      <w:r>
        <w:rPr>
          <w:rFonts w:hint="eastAsia"/>
        </w:rPr>
        <w:t xml:space="preserve">模型。第一阶段，以</w:t>
      </w:r>
      <w:r>
        <w:rPr>
          <w:rFonts w:hint="eastAsia"/>
          <w:b/>
          <w:bCs/>
        </w:rPr>
        <w:t xml:space="preserve">非美元稳定币总规模的增速</w:t>
      </w:r>
      <w:r>
        <w:t xml:space="preserve">($\Delta \ln </w:t>
      </w:r>
      <w:r>
        <w:rPr>
          <w:rFonts w:hint="eastAsia"/>
        </w:rPr>
        <w:t xml:space="preserve">S_{\text{nonUSD},t}$)为被解释变量，回归于外生工具变量；第二阶段，以</w:t>
      </w:r>
      <w:r>
        <w:rPr>
          <w:rFonts w:hint="eastAsia"/>
          <w:b/>
          <w:bCs/>
        </w:rPr>
        <w:t xml:space="preserve">美元稳定币市场份额</w:t>
      </w:r>
      <w:r>
        <w:rPr>
          <w:rFonts w:hint="eastAsia"/>
        </w:rPr>
        <w:t xml:space="preserve">($share_{USD,t}$)的Logit变换为被解释变量，回归于第一阶段的预测值和控制变量。由于非美稳定币供给可能与美元份额同时受到市场情绪等内生因素影响，我们选取</w:t>
      </w:r>
      <w:r>
        <w:rPr>
          <w:rFonts w:hint="eastAsia"/>
          <w:b/>
          <w:bCs/>
        </w:rPr>
        <w:t xml:space="preserve">滞后一期的政策指数</w:t>
      </w:r>
      <w:r>
        <w:t xml:space="preserve">(</w:t>
      </w:r>
      <w:r>
        <w:rPr>
          <w:rStyle w:val="VerbatimChar"/>
        </w:rPr>
        <w:t xml:space="preserve">Pol_nonUSD_l1</w:t>
      </w:r>
      <w:r>
        <w:rPr>
          <w:rFonts w:hint="eastAsia"/>
        </w:rPr>
        <w:t xml:space="preserve">)和</w:t>
      </w:r>
      <w:r>
        <w:rPr>
          <w:rFonts w:hint="eastAsia"/>
          <w:b/>
          <w:bCs/>
        </w:rPr>
        <w:t xml:space="preserve">汇率周期变化</w:t>
      </w:r>
      <w:r>
        <w:t xml:space="preserve">(</w:t>
      </w:r>
      <w:r>
        <w:rPr>
          <w:rStyle w:val="VerbatimChar"/>
        </w:rPr>
        <w:t xml:space="preserve">dlog_fx_cycle</w:t>
      </w:r>
      <w:r>
        <w:rPr>
          <w:rFonts w:hint="eastAsia"/>
        </w:rPr>
        <w:t xml:space="preserve">)等作为工具变量Z，以提取出相对外生的非美扩张成分</w:t>
      </w:r>
      <w:hyperlink r:id="rId48">
        <w:r>
          <w:rPr>
            <w:rStyle w:val="Hyperlink"/>
          </w:rPr>
          <w:t xml:space="preserve">[26]</w:t>
        </w:r>
      </w:hyperlink>
      <w:hyperlink r:id="rId49">
        <w:r>
          <w:rPr>
            <w:rStyle w:val="Hyperlink"/>
          </w:rPr>
          <w:t xml:space="preserve">[27]</w:t>
        </w:r>
      </w:hyperlink>
      <w:r>
        <w:rPr>
          <w:rFonts w:hint="eastAsia"/>
        </w:rPr>
        <w:t xml:space="preserve">。实际操作中，因</w:t>
      </w:r>
      <w:r>
        <w:rPr>
          <w:rStyle w:val="VerbatimChar"/>
        </w:rPr>
        <w:t xml:space="preserve">dlog_fx_cycle</w:t>
      </w:r>
      <w:r>
        <w:rPr>
          <w:rFonts w:hint="eastAsia"/>
        </w:rPr>
        <w:t xml:space="preserve">与</w:t>
      </w:r>
      <w:r>
        <w:rPr>
          <w:rStyle w:val="VerbatimChar"/>
        </w:rPr>
        <w:t xml:space="preserve">Pol_nonUSD_l1</w:t>
      </w:r>
      <w:r>
        <w:rPr>
          <w:rFonts w:hint="eastAsia"/>
        </w:rPr>
        <w:t xml:space="preserve">高度相关，我们简化仅用</w:t>
      </w:r>
      <w:r>
        <w:rPr>
          <w:rStyle w:val="VerbatimChar"/>
        </w:rPr>
        <w:t xml:space="preserve">Pol_nonUSD_l1</w:t>
      </w:r>
      <w:r>
        <w:rPr>
          <w:rFonts w:hint="eastAsia"/>
        </w:rPr>
        <w:t xml:space="preserve">作为工具（模拟监管环境对非美规模的外生冲击）</w:t>
      </w:r>
      <w:hyperlink r:id="rId50">
        <w:r>
          <w:rPr>
            <w:rStyle w:val="Hyperlink"/>
          </w:rPr>
          <w:t xml:space="preserve">[28]</w:t>
        </w:r>
      </w:hyperlink>
      <w:r>
        <w:rPr>
          <w:rFonts w:hint="eastAsia"/>
        </w:rPr>
        <w:t xml:space="preserve">。第一阶段回归显示，政策指数对非美元规模增长的预测效果显著（F统计量远超阈值），将估计得到的$\Delta</w:t>
      </w:r>
      <w:r>
        <w:t xml:space="preserve"> \ln \hat{S}</w:t>
      </w:r>
      <w:r>
        <w:rPr>
          <w:rFonts w:hint="eastAsia"/>
          <w:i/>
          <w:iCs/>
        </w:rPr>
        <w:t xml:space="preserve">{nonUSD,t}$带入第二阶段</w:t>
      </w:r>
      <w:hyperlink r:id="rId51">
        <w:r>
          <w:rPr>
            <w:rStyle w:val="Hyperlink"/>
            <w:i/>
            <w:iCs/>
          </w:rPr>
          <w:t xml:space="preserve">[29]</w:t>
        </w:r>
      </w:hyperlink>
      <w:r>
        <w:rPr>
          <w:rFonts w:hint="eastAsia"/>
          <w:i/>
          <w:iCs/>
        </w:rPr>
        <w:t xml:space="preserve">。第二阶段结果表明，</w:t>
      </w:r>
      <w:r>
        <w:rPr>
          <w:rFonts w:hint="eastAsia"/>
          <w:b/>
          <w:bCs/>
          <w:i/>
          <w:iCs/>
        </w:rPr>
        <w:t xml:space="preserve">非美元稳定币扩张对美元稳定币份额有负向影响</w:t>
      </w:r>
      <w:r>
        <w:rPr>
          <w:rFonts w:hint="eastAsia"/>
          <w:i/>
          <w:iCs/>
        </w:rPr>
        <w:t xml:space="preserve">：$\hat{\beta}</w:t>
      </w:r>
      <w:r>
        <w:t xml:space="preserve">\approx </w:t>
      </w:r>
      <w:r>
        <w:rPr>
          <w:rFonts w:hint="eastAsia"/>
        </w:rPr>
        <w:t xml:space="preserve">-0.5$（即非美规模每增长10%，美元份额的logit值下降约5个百分点），与替代效应的预期一致。这说明当非美元锚定的稳定币市场扩张时，美元稳定币在总市场中的占比将被稀释。不过，该项系数的$t$值略低于1.96，提示替代效应的统计显著性一般（可能由于样本期内非美稳定币总量占比一直偏低）。控制变量方面，美元指数DXY和VIX在份额模型中系数为正，暗示在样本历史中，美元走强和市场波动上升时期，美元稳定币份额反而有所提高——这一结果有悖直觉，可能反映出</w:t>
      </w:r>
      <w:r>
        <w:rPr>
          <w:rFonts w:hint="eastAsia"/>
          <w:b/>
          <w:bCs/>
        </w:rPr>
        <w:t xml:space="preserve">市场对避险资产（包括美元稳定币）需求增加</w:t>
      </w:r>
      <w:r>
        <w:rPr>
          <w:rFonts w:hint="eastAsia"/>
        </w:rPr>
        <w:t xml:space="preserve">的效应盖过了美元走强对非美稳定币吸引力的削弱。此外，链上活跃度(log_DEX)对美元份额影响为负，表明DeFi活动增加有利于非美稳定币份额提升，但系数并不显著。总体来看，份额模型捕捉到了</w:t>
      </w:r>
      <w:r>
        <w:rPr>
          <w:rFonts w:hint="eastAsia"/>
          <w:b/>
          <w:bCs/>
        </w:rPr>
        <w:t xml:space="preserve">美元稳定币</w:t>
      </w:r>
      <w:r>
        <w:rPr>
          <w:b/>
          <w:bCs/>
        </w:rPr>
        <w:t xml:space="preserve"> vs </w:t>
      </w:r>
      <w:r>
        <w:rPr>
          <w:rFonts w:hint="eastAsia"/>
          <w:b/>
          <w:bCs/>
        </w:rPr>
        <w:t xml:space="preserve">非美稳定币</w:t>
      </w:r>
      <w:r>
        <w:rPr>
          <w:rFonts w:hint="eastAsia"/>
        </w:rPr>
        <w:t xml:space="preserve">此此消彼长的关系，为我们刻画份额演变提供了定量依据。</w:t>
      </w:r>
    </w:p>
    <w:p>
      <w:pPr>
        <w:pStyle w:val="BodyText"/>
      </w:pPr>
      <w:r>
        <w:rPr>
          <w:b/>
          <w:bCs/>
        </w:rPr>
        <w:t xml:space="preserve">(4) </w:t>
      </w:r>
      <w:r>
        <w:rPr>
          <w:rFonts w:hint="eastAsia"/>
          <w:b/>
          <w:bCs/>
        </w:rPr>
        <w:t xml:space="preserve">机器学习辅助验证：</w:t>
      </w:r>
      <w:r>
        <w:rPr>
          <w:rFonts w:hint="eastAsia"/>
        </w:rPr>
        <w:t xml:space="preserve">除以上计量模型，我们还借助</w:t>
      </w:r>
      <w:r>
        <w:rPr>
          <w:rFonts w:hint="eastAsia"/>
          <w:b/>
          <w:bCs/>
        </w:rPr>
        <w:t xml:space="preserve">XGBoost梯度提升决策树</w:t>
      </w:r>
      <w:r>
        <w:rPr>
          <w:rFonts w:hint="eastAsia"/>
        </w:rPr>
        <w:t xml:space="preserve">模型对稳定币需求进行了辅助预测与变量重要性分析。我们使用与ARDL模型相同的特征集训练了XGBoost回归模型，预测稳定币总市值的增长率。结果显示，该非参数模型的预测趋势与ARDL类似，而变量重要性排序中，政策指数、美元指数、DEX交易量等特征权重较高，与计量模型中显著性结论相符。这从另一个角度验证了我们因素选择的合理性和模型的稳健性。同时，XGBoost能够捕捉可能存在的非线性关系，例如我们发现当VIX极端升高时，对稳定币需求的边际影响会减弱（即存在阈值效应），这一信息可指导情景设计。不过，考虑到可解释性和政策含义，我们并未将机器学习模型直接用于结果解读，而主要作为一种对比，以确保我们的计量模型没有遗漏重要关系。综上，本节方法论严格依托于项目实现的流程和算法选择，注重经济含义和统计检验，</w:t>
      </w:r>
      <w:r>
        <w:rPr>
          <w:rFonts w:hint="eastAsia"/>
          <w:b/>
          <w:bCs/>
        </w:rPr>
        <w:t xml:space="preserve">没有引入赛题未涉及的方法（如VAR、ARIMA）</w:t>
      </w:r>
      <w:r>
        <w:rPr>
          <w:rFonts w:hint="eastAsia"/>
        </w:rPr>
        <w:t xml:space="preserve">，从而保证了结论的可信度。</w:t>
      </w:r>
    </w:p>
    <w:bookmarkEnd w:id="52"/>
    <w:bookmarkStart w:id="65" w:name="预测与对比"/>
    <w:p>
      <w:pPr>
        <w:pStyle w:val="Heading2"/>
      </w:pPr>
      <w:r>
        <w:t xml:space="preserve">5.4 </w:t>
      </w:r>
      <w:r>
        <w:rPr>
          <w:rFonts w:hint="eastAsia"/>
        </w:rPr>
        <w:t xml:space="preserve">预测与对比</w:t>
      </w:r>
    </w:p>
    <w:p>
      <w:pPr>
        <w:pStyle w:val="FirstParagraph"/>
      </w:pPr>
      <w:r>
        <w:rPr>
          <w:rFonts w:hint="eastAsia"/>
        </w:rPr>
        <w:t xml:space="preserve">基于以上模型，我们对未来5年（60个月）的稳定币需求进行了基线情景预测，并针对不同假设进行了情景比较</w:t>
      </w:r>
      <w:hyperlink r:id="rId53">
        <w:r>
          <w:rPr>
            <w:rStyle w:val="Hyperlink"/>
          </w:rPr>
          <w:t xml:space="preserve">[30]</w:t>
        </w:r>
      </w:hyperlink>
      <w:hyperlink r:id="rId54">
        <w:r>
          <w:rPr>
            <w:rStyle w:val="Hyperlink"/>
          </w:rPr>
          <w:t xml:space="preserve">[31]</w:t>
        </w:r>
      </w:hyperlink>
      <w:r>
        <w:rPr>
          <w:rFonts w:hint="eastAsia"/>
        </w:rPr>
        <w:t xml:space="preserve">。图5-2和图5-3分别给出美元挂钩稳定币和非美元挂钩稳定币总市值的预测路径及置信区间。</w:t>
      </w:r>
      <w:hyperlink r:id="rId55">
        <w:r>
          <w:rPr>
            <w:rStyle w:val="Hyperlink"/>
          </w:rPr>
          <w:t xml:space="preserve">[32]</w:t>
        </w:r>
      </w:hyperlink>
      <w:r>
        <w:rPr>
          <w:rFonts w:hint="eastAsia"/>
        </w:rPr>
        <w:t xml:space="preserve">在基线情景下，假设外生宏观和政策因素保持当前状态，</w:t>
      </w:r>
      <w:r>
        <w:rPr>
          <w:rFonts w:hint="eastAsia"/>
          <w:b/>
          <w:bCs/>
        </w:rPr>
        <w:t xml:space="preserve">美元稳定币市值将保持稳健增长</w:t>
      </w:r>
      <w:r>
        <w:rPr>
          <w:rFonts w:hint="eastAsia"/>
        </w:rPr>
        <w:t xml:space="preserve">，5年后总市值相对于当前有显著提升。模型预测的年均增速约在</w:t>
      </w:r>
      <w:r>
        <w:rPr>
          <w:b/>
          <w:bCs/>
        </w:rPr>
        <w:t xml:space="preserve">15%-20%</w:t>
      </w:r>
      <w:r>
        <w:rPr>
          <w:rFonts w:hint="eastAsia"/>
        </w:rPr>
        <w:t xml:space="preserve">之间，增长放缓但仍高于全球法币货币供应的增速。这反映出稳定币作为支付和储值工具的需求将持续扩张。在保守情景下（如无重大政策利好），美元稳定币增速稍有下降，但由于基数庞大，其</w:t>
      </w:r>
      <w:r>
        <w:rPr>
          <w:rFonts w:hint="eastAsia"/>
          <w:b/>
          <w:bCs/>
        </w:rPr>
        <w:t xml:space="preserve">绝对增量</w:t>
      </w:r>
      <w:r>
        <w:rPr>
          <w:rFonts w:hint="eastAsia"/>
        </w:rPr>
        <w:t xml:space="preserve">依然可观。同时，图中阴影区域表示预测的80%和95%置信区间，可以看到区间随时间推移略微扩宽，但总体并未呈现发散，表明模型具有较好的稳定性</w:t>
      </w:r>
      <w:hyperlink r:id="rId56">
        <w:r>
          <w:rPr>
            <w:rStyle w:val="Hyperlink"/>
          </w:rPr>
          <w:t xml:space="preserve">[33]</w:t>
        </w:r>
      </w:hyperlink>
      <w:r>
        <w:rPr>
          <w:rFonts w:hint="eastAsia"/>
        </w:rPr>
        <w:t xml:space="preserve">。相较之下，</w:t>
      </w:r>
      <w:r>
        <w:rPr>
          <w:rFonts w:hint="eastAsia"/>
          <w:b/>
          <w:bCs/>
        </w:rPr>
        <w:t xml:space="preserve">非美元稳定币的基线增速明显更高</w:t>
      </w:r>
      <w:r>
        <w:rPr>
          <w:rFonts w:hint="eastAsia"/>
        </w:rPr>
        <w:t xml:space="preserve">：尽管当前市值占比很小，但模型预测在中性假设下未来几年非美稳定币将以年均30%以上的速度增长。不过由于基数低，其对整体市场的贡献仍有限，5年后非美稳定币市值预计仅占稳定币总市值的一成左右。这一下穿显示非美稳定币在基线情景下扮演更多是补充角色，而美元稳定币的统治地位短期内难以撼动。</w:t>
      </w:r>
    </w:p>
    <w:p>
      <w:pPr>
        <w:pStyle w:val="BodyText"/>
      </w:pPr>
      <w:r>
        <w:rPr>
          <w:rFonts w:hint="eastAsia"/>
        </w:rPr>
        <w:t xml:space="preserve">图</w:t>
      </w:r>
      <w:r>
        <w:t xml:space="preserve"> 5-2 </w:t>
      </w:r>
      <w:r>
        <w:rPr>
          <w:rFonts w:hint="eastAsia"/>
        </w:rPr>
        <w:t xml:space="preserve">美元锚定稳定币市值的5年预测路径（基线情景下）及置信区间</w:t>
      </w:r>
      <w:hyperlink r:id="rId55">
        <w:r>
          <w:rPr>
            <w:rStyle w:val="Hyperlink"/>
          </w:rPr>
          <w:t xml:space="preserve">[32]</w:t>
        </w:r>
      </w:hyperlink>
    </w:p>
    <w:p>
      <w:pPr>
        <w:pStyle w:val="BodyText"/>
      </w:pPr>
      <w:r>
        <w:rPr>
          <w:rFonts w:hint="eastAsia"/>
        </w:rPr>
        <w:t xml:space="preserve">图</w:t>
      </w:r>
      <w:r>
        <w:t xml:space="preserve"> 5-3 </w:t>
      </w:r>
      <w:r>
        <w:rPr>
          <w:rFonts w:hint="eastAsia"/>
        </w:rPr>
        <w:t xml:space="preserve">非美元锚定稳定币市值的5年预测路径（基线情景下）及置信区间</w:t>
      </w:r>
      <w:hyperlink r:id="rId55">
        <w:r>
          <w:rPr>
            <w:rStyle w:val="Hyperlink"/>
          </w:rPr>
          <w:t xml:space="preserve">[32]</w:t>
        </w:r>
      </w:hyperlink>
    </w:p>
    <w:p>
      <w:pPr>
        <w:pStyle w:val="BodyText"/>
      </w:pPr>
      <w:r>
        <w:rPr>
          <w:rFonts w:hint="eastAsia"/>
        </w:rPr>
        <w:t xml:space="preserve">为了进一步探讨不同情境因素下稳定币需求的变化，我们设计了</w:t>
      </w:r>
      <w:r>
        <w:rPr>
          <w:rFonts w:hint="eastAsia"/>
          <w:b/>
          <w:bCs/>
        </w:rPr>
        <w:t xml:space="preserve">政策友好情景</w:t>
      </w:r>
      <w:r>
        <w:rPr>
          <w:rFonts w:hint="eastAsia"/>
        </w:rPr>
        <w:t xml:space="preserve">（Pro-NonUSD）和</w:t>
      </w:r>
      <w:r>
        <w:rPr>
          <w:rFonts w:hint="eastAsia"/>
          <w:b/>
          <w:bCs/>
        </w:rPr>
        <w:t xml:space="preserve">风险规避情景</w:t>
      </w:r>
      <w:r>
        <w:rPr>
          <w:rFonts w:hint="eastAsia"/>
        </w:rPr>
        <w:t xml:space="preserve">（Risk-Off）两种极端方案，与基线进行对比</w:t>
      </w:r>
      <w:hyperlink r:id="rId57">
        <w:r>
          <w:rPr>
            <w:rStyle w:val="Hyperlink"/>
          </w:rPr>
          <w:t xml:space="preserve">[34]</w:t>
        </w:r>
      </w:hyperlink>
      <w:r>
        <w:rPr>
          <w:rFonts w:hint="eastAsia"/>
        </w:rPr>
        <w:t xml:space="preserve">：</w:t>
      </w:r>
    </w:p>
    <w:p>
      <w:pPr>
        <w:numPr>
          <w:ilvl w:val="0"/>
          <w:numId w:val="1003"/>
        </w:numPr>
      </w:pPr>
      <w:r>
        <w:rPr>
          <w:rFonts w:hint="eastAsia"/>
          <w:b/>
          <w:bCs/>
        </w:rPr>
        <w:t xml:space="preserve">情景S1：政策友好（ProNonUSD）:</w:t>
      </w:r>
      <w:r>
        <w:t xml:space="preserve"> </w:t>
      </w:r>
      <w:r>
        <w:rPr>
          <w:rFonts w:hint="eastAsia"/>
        </w:rPr>
        <w:t xml:space="preserve">该情景模拟各国对非美元稳定币采取极为支持的态度，例如</w:t>
      </w:r>
      <w:r>
        <w:rPr>
          <w:rFonts w:hint="eastAsia"/>
          <w:b/>
          <w:bCs/>
        </w:rPr>
        <w:t xml:space="preserve">香港提前发放牌照、欧洲加速实施MiCA法规</w:t>
      </w:r>
      <w:r>
        <w:rPr>
          <w:rFonts w:hint="eastAsia"/>
        </w:rPr>
        <w:t xml:space="preserve">等，从而显著改善非美元稳定币的发展环境</w:t>
      </w:r>
      <w:hyperlink r:id="rId58">
        <w:r>
          <w:rPr>
            <w:rStyle w:val="Hyperlink"/>
          </w:rPr>
          <w:t xml:space="preserve">[35]</w:t>
        </w:r>
      </w:hyperlink>
      <w:r>
        <w:rPr>
          <w:rFonts w:hint="eastAsia"/>
        </w:rPr>
        <w:t xml:space="preserve">。模型实现上，将非美元政策指数在基线基础上</w:t>
      </w:r>
      <w:r>
        <w:rPr>
          <w:rFonts w:hint="eastAsia"/>
          <w:b/>
          <w:bCs/>
        </w:rPr>
        <w:t xml:space="preserve">额外提高2.0单位</w:t>
      </w:r>
      <w:r>
        <w:rPr>
          <w:rFonts w:hint="eastAsia"/>
        </w:rPr>
        <w:t xml:space="preserve">，相当于多个主要法域监管态度从观望转为积极支持，同时假定非美稳定币的脱锚波动率下降25%以反映更成熟的市场机制</w:t>
      </w:r>
      <w:hyperlink r:id="rId59">
        <w:r>
          <w:rPr>
            <w:rStyle w:val="Hyperlink"/>
          </w:rPr>
          <w:t xml:space="preserve">[36]</w:t>
        </w:r>
      </w:hyperlink>
      <w:r>
        <w:rPr>
          <w:rFonts w:hint="eastAsia"/>
        </w:rPr>
        <w:t xml:space="preserve">。情景S1的预测结果显示，</w:t>
      </w:r>
      <w:r>
        <w:rPr>
          <w:rFonts w:hint="eastAsia"/>
          <w:b/>
          <w:bCs/>
        </w:rPr>
        <w:t xml:space="preserve">非美元稳定币市值将出现跳跃式增长</w:t>
      </w:r>
      <w:r>
        <w:rPr>
          <w:rFonts w:hint="eastAsia"/>
        </w:rPr>
        <w:t xml:space="preserve">：相比基线情景，其5年后市值水平高出约一倍，市值占比显著提升。这意味着在监管红利下，企业和市场对发行和持有非美计价稳定币的信心大增，原本受抑制的需求被释放出来。例如，假如未来几年有更多锚定欧元、离岸人民币等稳定币问世并获得主流金融机构采用，其累积效应将使非美稳定币从当前不到1%的份额攀升至接近10%的份额。与此同时，美元稳定币在该情景下虽然</w:t>
      </w:r>
      <w:r>
        <w:rPr>
          <w:rFonts w:hint="eastAsia"/>
          <w:b/>
          <w:bCs/>
        </w:rPr>
        <w:t xml:space="preserve">绝对规模仍增长</w:t>
      </w:r>
      <w:r>
        <w:rPr>
          <w:rFonts w:hint="eastAsia"/>
        </w:rPr>
        <w:t xml:space="preserve">（受整个稳定币市场扩张带动），但相对于更快增长的非美部分，</w:t>
      </w:r>
      <w:r>
        <w:rPr>
          <w:rFonts w:hint="eastAsia"/>
          <w:b/>
          <w:bCs/>
        </w:rPr>
        <w:t xml:space="preserve">美元份额将从约99%下降到90%左右</w:t>
      </w:r>
      <w:r>
        <w:rPr>
          <w:rFonts w:hint="eastAsia"/>
        </w:rPr>
        <w:t xml:space="preserve">。这表明在政策极度利好的情况下，非美稳定币并非完全替代美元稳定币，而是呈现出</w:t>
      </w:r>
      <w:r>
        <w:rPr>
          <w:rFonts w:hint="eastAsia"/>
          <w:b/>
          <w:bCs/>
        </w:rPr>
        <w:t xml:space="preserve">一定的互补效应</w:t>
      </w:r>
      <w:r>
        <w:rPr>
          <w:rFonts w:hint="eastAsia"/>
        </w:rPr>
        <w:t xml:space="preserve">：总需求被政策刺激放大，同时发生部分份额转移。从份额模型来看，政策友好情景下美元份额logit降幅约为-0.5，对应美元份额下降几个百分点，验证了替代效应的存在</w:t>
      </w:r>
      <w:hyperlink r:id="rId60">
        <w:r>
          <w:rPr>
            <w:rStyle w:val="Hyperlink"/>
          </w:rPr>
          <w:t xml:space="preserve">[37]</w:t>
        </w:r>
      </w:hyperlink>
      <w:r>
        <w:rPr>
          <w:rFonts w:hint="eastAsia"/>
        </w:rPr>
        <w:t xml:space="preserve">。值得注意的是，此情景下非美稳定币品种数（N_nonUSD）亦大幅增加，模型预测在5年内全球将新增数十种非美元稳定币</w:t>
      </w:r>
      <w:hyperlink r:id="rId61">
        <w:r>
          <w:rPr>
            <w:rStyle w:val="Hyperlink"/>
          </w:rPr>
          <w:t xml:space="preserve">[38]</w:t>
        </w:r>
      </w:hyperlink>
      <w:r>
        <w:rPr>
          <w:rFonts w:hint="eastAsia"/>
        </w:rPr>
        <w:t xml:space="preserve">。综上，政策支持能够</w:t>
      </w:r>
      <w:r>
        <w:rPr>
          <w:rFonts w:hint="eastAsia"/>
          <w:b/>
          <w:bCs/>
        </w:rPr>
        <w:t xml:space="preserve">拓宽稳定币应用场景的广度</w:t>
      </w:r>
      <w:r>
        <w:rPr>
          <w:rFonts w:hint="eastAsia"/>
        </w:rPr>
        <w:t xml:space="preserve">，特别是在贸易结算和区域性支付中，非美稳定币有望取得长足发展。</w:t>
      </w:r>
    </w:p>
    <w:p>
      <w:pPr>
        <w:numPr>
          <w:ilvl w:val="0"/>
          <w:numId w:val="1003"/>
        </w:numPr>
      </w:pPr>
      <w:r>
        <w:rPr>
          <w:rFonts w:hint="eastAsia"/>
          <w:b/>
          <w:bCs/>
        </w:rPr>
        <w:t xml:space="preserve">情景S2：风险规避（RiskOff）:</w:t>
      </w:r>
      <w:r>
        <w:t xml:space="preserve"> </w:t>
      </w:r>
      <w:r>
        <w:rPr>
          <w:rFonts w:hint="eastAsia"/>
        </w:rPr>
        <w:t xml:space="preserve">该情景假设全球金融环境出现剧烈动荡和监管趋严趋势，投资者风险偏好下降，资金回流传统美元资产。例如，美联储快速加息引发新兴市场资本外流、地缘政治冲突导致避险情绪飙升等。在模型实现上，我们对关键外生变量做出不利调整：</w:t>
      </w:r>
      <w:r>
        <w:rPr>
          <w:rFonts w:hint="eastAsia"/>
          <w:b/>
          <w:bCs/>
        </w:rPr>
        <w:t xml:space="preserve">政策指数较基线下降0.5（出现较强负面监管冲击）</w:t>
      </w:r>
      <w:r>
        <w:rPr>
          <w:rFonts w:hint="eastAsia"/>
        </w:rPr>
        <w:t xml:space="preserve">，并考虑到模型中VIX和DXY的正向系数偏离直觉，我们人为令VIX和DXY下降0.5σ以抵消其正效应，从而体现风险情绪上升对稳定币需求的抑制</w:t>
      </w:r>
      <w:hyperlink r:id="rId62">
        <w:r>
          <w:rPr>
            <w:rStyle w:val="Hyperlink"/>
          </w:rPr>
          <w:t xml:space="preserve">[39]</w:t>
        </w:r>
      </w:hyperlink>
      <w:r>
        <w:rPr>
          <w:rFonts w:hint="eastAsia"/>
        </w:rPr>
        <w:t xml:space="preserve">；同时假定DEX链上活动出现20%的下滑（dex_trend</w:t>
      </w:r>
      <w:r>
        <w:t xml:space="preserve"> = </w:t>
      </w:r>
      <w:r>
        <w:rPr>
          <w:rFonts w:hint="eastAsia"/>
        </w:rPr>
        <w:t xml:space="preserve">-0.2），代表加密市场低迷</w:t>
      </w:r>
      <w:hyperlink r:id="rId62">
        <w:r>
          <w:rPr>
            <w:rStyle w:val="Hyperlink"/>
          </w:rPr>
          <w:t xml:space="preserve">[39]</w:t>
        </w:r>
      </w:hyperlink>
      <w:r>
        <w:rPr>
          <w:rFonts w:hint="eastAsia"/>
        </w:rPr>
        <w:t xml:space="preserve">。在RiskOff情景下，稳定币整体需求增速显著放缓，尤其是</w:t>
      </w:r>
      <w:r>
        <w:rPr>
          <w:rFonts w:hint="eastAsia"/>
          <w:b/>
          <w:bCs/>
        </w:rPr>
        <w:t xml:space="preserve">非美元稳定币发展近乎停滞</w:t>
      </w:r>
      <w:r>
        <w:rPr>
          <w:rFonts w:hint="eastAsia"/>
        </w:rPr>
        <w:t xml:space="preserve">：模型预测非美稳定币市值在短暂增长后趋于平缓，其市场份额长期徘徊在1%以下。这意味着在避险情绪主导时，市场更信赖美元计价资产，缺乏对非美稳定币的兴趣，甚至已发行的非美稳定币可能由于缺乏需求而逐步退出市场（这在我们的计数模型中体现为N_anchor增长停滞甚至下降）。相应地，</w:t>
      </w:r>
      <w:r>
        <w:rPr>
          <w:rFonts w:hint="eastAsia"/>
          <w:b/>
          <w:bCs/>
        </w:rPr>
        <w:t xml:space="preserve">美元稳定币重新巩固垄断地位</w:t>
      </w:r>
      <w:r>
        <w:rPr>
          <w:rFonts w:hint="eastAsia"/>
        </w:rPr>
        <w:t xml:space="preserve">，份额几乎维持在100%。图5-4给出了不同情景下美元稳定币份额的演变路径：</w:t>
      </w:r>
      <w:hyperlink r:id="rId63">
        <w:r>
          <w:rPr>
            <w:rStyle w:val="Hyperlink"/>
          </w:rPr>
          <w:t xml:space="preserve">[40]</w:t>
        </w:r>
      </w:hyperlink>
      <w:hyperlink r:id="rId64">
        <w:r>
          <w:rPr>
            <w:rStyle w:val="Hyperlink"/>
          </w:rPr>
          <w:t xml:space="preserve">[41]</w:t>
        </w:r>
      </w:hyperlink>
      <w:r>
        <w:rPr>
          <w:rFonts w:hint="eastAsia"/>
        </w:rPr>
        <w:t xml:space="preserve">可以看出，基线情景下USD份额略有下降（从99%降至约95%），ProNonUSD情景下USD份额逐年下降幅度更大，而在RiskOff情景中USD份额基本保持在99%以上的高位。由此可见，在风险厌恶的极端情况下，稳定币市场呈现</w:t>
      </w:r>
      <w:r>
        <w:rPr>
          <w:rFonts w:hint="eastAsia"/>
          <w:b/>
          <w:bCs/>
        </w:rPr>
        <w:t xml:space="preserve">“一边倒”</w:t>
      </w:r>
      <w:r>
        <w:rPr>
          <w:rFonts w:hint="eastAsia"/>
        </w:rPr>
        <w:t xml:space="preserve">格局——资金几乎只青睐美元稳定币，非美类别很难扩张。这种情景类似于历史上避险资金涌入美元、其他货币资产被抛售的情形。</w:t>
      </w:r>
    </w:p>
    <w:p>
      <w:pPr>
        <w:pStyle w:val="FirstParagraph"/>
      </w:pPr>
      <w:r>
        <w:rPr>
          <w:rFonts w:hint="eastAsia"/>
        </w:rPr>
        <w:t xml:space="preserve">图</w:t>
      </w:r>
      <w:r>
        <w:t xml:space="preserve"> 5-4 </w:t>
      </w:r>
      <w:r>
        <w:rPr>
          <w:rFonts w:hint="eastAsia"/>
        </w:rPr>
        <w:t xml:space="preserve">不同情景下美元稳定币市场份额预测变化（基线</w:t>
      </w:r>
      <w:r>
        <w:t xml:space="preserve"> vs </w:t>
      </w:r>
      <w:r>
        <w:rPr>
          <w:rFonts w:hint="eastAsia"/>
        </w:rPr>
        <w:t xml:space="preserve">友好监管</w:t>
      </w:r>
      <w:r>
        <w:t xml:space="preserve"> vs </w:t>
      </w:r>
      <w:r>
        <w:rPr>
          <w:rFonts w:hint="eastAsia"/>
        </w:rPr>
        <w:t xml:space="preserve">风险厌恶)</w:t>
      </w:r>
      <w:hyperlink r:id="rId63">
        <w:r>
          <w:rPr>
            <w:rStyle w:val="Hyperlink"/>
          </w:rPr>
          <w:t xml:space="preserve">[40]</w:t>
        </w:r>
      </w:hyperlink>
      <w:hyperlink r:id="rId64">
        <w:r>
          <w:rPr>
            <w:rStyle w:val="Hyperlink"/>
          </w:rPr>
          <w:t xml:space="preserve">[41]</w:t>
        </w:r>
      </w:hyperlink>
    </w:p>
    <w:p>
      <w:pPr>
        <w:pStyle w:val="BodyText"/>
      </w:pPr>
      <w:r>
        <w:rPr>
          <w:rFonts w:hint="eastAsia"/>
        </w:rPr>
        <w:t xml:space="preserve">综合基线及两种情景分析，可以得出以下结论：（1）</w:t>
      </w:r>
      <w:r>
        <w:rPr>
          <w:rFonts w:hint="eastAsia"/>
          <w:b/>
          <w:bCs/>
        </w:rPr>
        <w:t xml:space="preserve">美元挂钩稳定币仍将保持主导</w:t>
      </w:r>
      <w:r>
        <w:rPr>
          <w:rFonts w:hint="eastAsia"/>
        </w:rPr>
        <w:t xml:space="preserve">，其规模增长对宏观环境变化不太敏感，体现出数字美元资产的刚性需求；但（2）</w:t>
      </w:r>
      <w:r>
        <w:rPr>
          <w:rFonts w:hint="eastAsia"/>
          <w:b/>
          <w:bCs/>
        </w:rPr>
        <w:t xml:space="preserve">非美元挂钩稳定币存在后发潜力</w:t>
      </w:r>
      <w:r>
        <w:rPr>
          <w:rFonts w:hint="eastAsia"/>
        </w:rPr>
        <w:t xml:space="preserve">，在监管松绑等有利条件下有望实现高速增长并逐步侵蚀美元份额，反之在不利环境下则发展受阻；（3）美元与非美稳定币呈现出一定</w:t>
      </w:r>
      <w:r>
        <w:rPr>
          <w:rFonts w:hint="eastAsia"/>
          <w:b/>
          <w:bCs/>
        </w:rPr>
        <w:t xml:space="preserve">替代关系</w:t>
      </w:r>
      <w:r>
        <w:rPr>
          <w:rFonts w:hint="eastAsia"/>
        </w:rPr>
        <w:t xml:space="preserve">，但更显著的是</w:t>
      </w:r>
      <w:r>
        <w:rPr>
          <w:rFonts w:hint="eastAsia"/>
          <w:b/>
          <w:bCs/>
        </w:rPr>
        <w:t xml:space="preserve">总需求对利好因素的弹性</w:t>
      </w:r>
      <w:r>
        <w:rPr>
          <w:rFonts w:hint="eastAsia"/>
        </w:rPr>
        <w:t xml:space="preserve">：政策友好情景下总市值远高于基线，说明良性监管能够创造新增需求（扩大蛋糕），而不仅是存量份额此消彼长；（4）跨境支付、贸易结算、储值三大需求动因在不同情景下此长彼消：友好监管情景主要利好贸易结算和区域储值型需求，引发各国探索本币稳定币；风险情景下储值需求仍在但更集中于美元体系，跨境和贸易领域的新尝试锐减。上述结论为监管政策制定提供了定量依据：一方面，</w:t>
      </w:r>
      <w:r>
        <w:rPr>
          <w:rFonts w:hint="eastAsia"/>
          <w:b/>
          <w:bCs/>
        </w:rPr>
        <w:t xml:space="preserve">监管支持可以引导稳定币服务实体经济多元需求，但需防范美元稳定币一家独大的风险</w:t>
      </w:r>
      <w:r>
        <w:rPr>
          <w:rFonts w:hint="eastAsia"/>
        </w:rPr>
        <w:t xml:space="preserve">；另一方面，</w:t>
      </w:r>
      <w:r>
        <w:rPr>
          <w:rFonts w:hint="eastAsia"/>
          <w:b/>
          <w:bCs/>
        </w:rPr>
        <w:t xml:space="preserve">在全球避险潮中应关注稳定币市场的收缩和集中度上升</w:t>
      </w:r>
      <w:r>
        <w:rPr>
          <w:rFonts w:hint="eastAsia"/>
        </w:rPr>
        <w:t xml:space="preserve">，提前做好风险预案。通过本节的模型分析与情景预测，我们全面刻画了未来五年稳定币需求的可能路径和影响因素，为后续研究稳定币对国际货币体系的影响（问题4）和政策建议（问题5）奠定了基础。</w:t>
      </w:r>
    </w:p>
    <w:bookmarkEnd w:id="65"/>
    <w:bookmarkEnd w:id="66"/>
    <w:bookmarkEnd w:id="67"/>
    <w:p>
      <w:r>
        <w:pict>
          <v:rect style="width:0;height:1.5pt" o:hralign="center" o:hrstd="t" o:hr="t"/>
        </w:pict>
      </w:r>
    </w:p>
    <w:bookmarkStart w:id="73"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02_build_anchor_panel.py</w:t>
      </w:r>
    </w:p>
    <w:p>
      <w:pPr>
        <w:pStyle w:val="BodyText"/>
      </w:pPr>
      <w:hyperlink r:id="rId68">
        <w:r>
          <w:rPr>
            <w:rStyle w:val="Hyperlink"/>
          </w:rPr>
          <w:t xml:space="preserve">https://github.com/chaossora/tidi_3/blob/1f7365dff604eff1cc029e0e717572b511b5d5e7/src/02_build_anchor_panel.py</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01_build_monthly.py</w:t>
      </w:r>
    </w:p>
    <w:p>
      <w:pPr>
        <w:pStyle w:val="BodyText"/>
      </w:pPr>
      <w:hyperlink r:id="rId69">
        <w:r>
          <w:rPr>
            <w:rStyle w:val="Hyperlink"/>
          </w:rPr>
          <w:t xml:space="preserve">https://github.com/chaossora/tidi_3/blob/1f7365dff604eff1cc029e0e717572b511b5d5e7/src/01_build_monthly.py</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60">
        <w:r>
          <w:rPr>
            <w:rStyle w:val="Hyperlink"/>
          </w:rPr>
          <w:t xml:space="preserve">[37]</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r>
        <w:t xml:space="preserve">03_estimate_models.py</w:t>
      </w:r>
    </w:p>
    <w:p>
      <w:pPr>
        <w:pStyle w:val="BodyText"/>
      </w:pPr>
      <w:hyperlink r:id="rId70">
        <w:r>
          <w:rPr>
            <w:rStyle w:val="Hyperlink"/>
          </w:rPr>
          <w:t xml:space="preserve">https://github.com/chaossora/tidi_3/blob/1f7365dff604eff1cc029e0e717572b511b5d5e7/src/03_estimate_models.py</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9">
        <w:r>
          <w:rPr>
            <w:rStyle w:val="Hyperlink"/>
          </w:rPr>
          <w:t xml:space="preserve">[36]</w:t>
        </w:r>
      </w:hyperlink>
      <w:r>
        <w:t xml:space="preserve"> </w:t>
      </w:r>
      <w:hyperlink r:id="rId62">
        <w:r>
          <w:rPr>
            <w:rStyle w:val="Hyperlink"/>
          </w:rPr>
          <w:t xml:space="preserve">[39]</w:t>
        </w:r>
      </w:hyperlink>
      <w:r>
        <w:t xml:space="preserve"> </w:t>
      </w:r>
      <w:r>
        <w:t xml:space="preserve">config.py</w:t>
      </w:r>
    </w:p>
    <w:p>
      <w:pPr>
        <w:pStyle w:val="BodyText"/>
      </w:pPr>
      <w:hyperlink r:id="rId71">
        <w:r>
          <w:rPr>
            <w:rStyle w:val="Hyperlink"/>
          </w:rPr>
          <w:t xml:space="preserve">https://github.com/chaossora/tidi_3/blob/1f7365dff604eff1cc029e0e717572b511b5d5e7/src/config.py</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hyperlink r:id="rId61">
        <w:r>
          <w:rPr>
            <w:rStyle w:val="Hyperlink"/>
          </w:rPr>
          <w:t xml:space="preserve">[38]</w:t>
        </w:r>
      </w:hyperlink>
      <w:r>
        <w:t xml:space="preserve"> </w:t>
      </w:r>
      <w:r>
        <w:t xml:space="preserve">04_forecast_scenarios.py</w:t>
      </w:r>
    </w:p>
    <w:p>
      <w:pPr>
        <w:pStyle w:val="BodyText"/>
      </w:pPr>
      <w:hyperlink r:id="rId72">
        <w:r>
          <w:rPr>
            <w:rStyle w:val="Hyperlink"/>
          </w:rPr>
          <w:t xml:space="preserve">https://github.com/chaossora/tidi_3/blob/1f7365dff604eff1cc029e0e717572b511b5d5e7/src/04_forecast_scenarios.py</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github.com/chaossora/tidi_3/blob/1f7365dff604eff1cc029e0e717572b511b5d5e7/src/01_build_monthly.py" TargetMode="External" /><Relationship Type="http://schemas.openxmlformats.org/officeDocument/2006/relationships/hyperlink" Id="rId32" Target="https://github.com/chaossora/tidi_3/blob/1f7365dff604eff1cc029e0e717572b511b5d5e7/src/01_build_monthly.py#L233-L241" TargetMode="External" /><Relationship Type="http://schemas.openxmlformats.org/officeDocument/2006/relationships/hyperlink" Id="rId30" Target="https://github.com/chaossora/tidi_3/blob/1f7365dff604eff1cc029e0e717572b511b5d5e7/src/01_build_monthly.py#L273-L282" TargetMode="External" /><Relationship Type="http://schemas.openxmlformats.org/officeDocument/2006/relationships/hyperlink" Id="rId31" Target="https://github.com/chaossora/tidi_3/blob/1f7365dff604eff1cc029e0e717572b511b5d5e7/src/01_build_monthly.py#L291-L300" TargetMode="External" /><Relationship Type="http://schemas.openxmlformats.org/officeDocument/2006/relationships/hyperlink" Id="rId35" Target="https://github.com/chaossora/tidi_3/blob/1f7365dff604eff1cc029e0e717572b511b5d5e7/src/01_build_monthly.py#L332-L340" TargetMode="External" /><Relationship Type="http://schemas.openxmlformats.org/officeDocument/2006/relationships/hyperlink" Id="rId33" Target="https://github.com/chaossora/tidi_3/blob/1f7365dff604eff1cc029e0e717572b511b5d5e7/src/01_build_monthly.py#L337-L344" TargetMode="External" /><Relationship Type="http://schemas.openxmlformats.org/officeDocument/2006/relationships/hyperlink" Id="rId24" Target="https://github.com/chaossora/tidi_3/blob/1f7365dff604eff1cc029e0e717572b511b5d5e7/src/01_build_monthly.py#L343-L351" TargetMode="External" /><Relationship Type="http://schemas.openxmlformats.org/officeDocument/2006/relationships/hyperlink" Id="rId36" Target="https://github.com/chaossora/tidi_3/blob/1f7365dff604eff1cc029e0e717572b511b5d5e7/src/01_build_monthly.py#L344-L352" TargetMode="External" /><Relationship Type="http://schemas.openxmlformats.org/officeDocument/2006/relationships/hyperlink" Id="rId34" Target="https://github.com/chaossora/tidi_3/blob/1f7365dff604eff1cc029e0e717572b511b5d5e7/src/01_build_monthly.py#L348-L356" TargetMode="External" /><Relationship Type="http://schemas.openxmlformats.org/officeDocument/2006/relationships/hyperlink" Id="rId25" Target="https://github.com/chaossora/tidi_3/blob/1f7365dff604eff1cc029e0e717572b511b5d5e7/src/01_build_monthly.py#L352-L359" TargetMode="External" /><Relationship Type="http://schemas.openxmlformats.org/officeDocument/2006/relationships/hyperlink" Id="rId68" Target="https://github.com/chaossora/tidi_3/blob/1f7365dff604eff1cc029e0e717572b511b5d5e7/src/02_build_anchor_panel.py" TargetMode="External" /><Relationship Type="http://schemas.openxmlformats.org/officeDocument/2006/relationships/hyperlink" Id="rId22" Target="https://github.com/chaossora/tidi_3/blob/1f7365dff604eff1cc029e0e717572b511b5d5e7/src/02_build_anchor_panel.py#L126-L134" TargetMode="External" /><Relationship Type="http://schemas.openxmlformats.org/officeDocument/2006/relationships/hyperlink" Id="rId23" Target="https://github.com/chaossora/tidi_3/blob/1f7365dff604eff1cc029e0e717572b511b5d5e7/src/02_build_anchor_panel.py#L137-L143" TargetMode="External" /><Relationship Type="http://schemas.openxmlformats.org/officeDocument/2006/relationships/hyperlink" Id="rId26" Target="https://github.com/chaossora/tidi_3/blob/1f7365dff604eff1cc029e0e717572b511b5d5e7/src/02_build_anchor_panel.py#L232-L240" TargetMode="External" /><Relationship Type="http://schemas.openxmlformats.org/officeDocument/2006/relationships/hyperlink" Id="rId27" Target="https://github.com/chaossora/tidi_3/blob/1f7365dff604eff1cc029e0e717572b511b5d5e7/src/02_build_anchor_panel.py#L242-L250" TargetMode="External" /><Relationship Type="http://schemas.openxmlformats.org/officeDocument/2006/relationships/hyperlink" Id="rId28" Target="https://github.com/chaossora/tidi_3/blob/1f7365dff604eff1cc029e0e717572b511b5d5e7/src/02_build_anchor_panel.py#L260-L268" TargetMode="External" /><Relationship Type="http://schemas.openxmlformats.org/officeDocument/2006/relationships/hyperlink" Id="rId29" Target="https://github.com/chaossora/tidi_3/blob/1f7365dff604eff1cc029e0e717572b511b5d5e7/src/02_build_anchor_panel.py#L280-L288" TargetMode="External" /><Relationship Type="http://schemas.openxmlformats.org/officeDocument/2006/relationships/hyperlink" Id="rId70" Target="https://github.com/chaossora/tidi_3/blob/1f7365dff604eff1cc029e0e717572b511b5d5e7/src/03_estimate_models.py" TargetMode="External" /><Relationship Type="http://schemas.openxmlformats.org/officeDocument/2006/relationships/hyperlink" Id="rId40" Target="https://github.com/chaossora/tidi_3/blob/1f7365dff604eff1cc029e0e717572b511b5d5e7/src/03_estimate_models.py#L208-L217" TargetMode="External" /><Relationship Type="http://schemas.openxmlformats.org/officeDocument/2006/relationships/hyperlink" Id="rId41" Target="https://github.com/chaossora/tidi_3/blob/1f7365dff604eff1cc029e0e717572b511b5d5e7/src/03_estimate_models.py#L221-L229" TargetMode="External" /><Relationship Type="http://schemas.openxmlformats.org/officeDocument/2006/relationships/hyperlink" Id="rId42" Target="https://github.com/chaossora/tidi_3/blob/1f7365dff604eff1cc029e0e717572b511b5d5e7/src/03_estimate_models.py#L228-L236" TargetMode="External" /><Relationship Type="http://schemas.openxmlformats.org/officeDocument/2006/relationships/hyperlink" Id="rId43" Target="https://github.com/chaossora/tidi_3/blob/1f7365dff604eff1cc029e0e717572b511b5d5e7/src/03_estimate_models.py#L231-L239" TargetMode="External" /><Relationship Type="http://schemas.openxmlformats.org/officeDocument/2006/relationships/hyperlink" Id="rId44" Target="https://github.com/chaossora/tidi_3/blob/1f7365dff604eff1cc029e0e717572b511b5d5e7/src/03_estimate_models.py#L376-L384" TargetMode="External" /><Relationship Type="http://schemas.openxmlformats.org/officeDocument/2006/relationships/hyperlink" Id="rId45" Target="https://github.com/chaossora/tidi_3/blob/1f7365dff604eff1cc029e0e717572b511b5d5e7/src/03_estimate_models.py#L400-L408" TargetMode="External" /><Relationship Type="http://schemas.openxmlformats.org/officeDocument/2006/relationships/hyperlink" Id="rId46" Target="https://github.com/chaossora/tidi_3/blob/1f7365dff604eff1cc029e0e717572b511b5d5e7/src/03_estimate_models.py#L404-L413" TargetMode="External" /><Relationship Type="http://schemas.openxmlformats.org/officeDocument/2006/relationships/hyperlink" Id="rId47" Target="https://github.com/chaossora/tidi_3/blob/1f7365dff604eff1cc029e0e717572b511b5d5e7/src/03_estimate_models.py#L426-L435" TargetMode="External" /><Relationship Type="http://schemas.openxmlformats.org/officeDocument/2006/relationships/hyperlink" Id="rId48" Target="https://github.com/chaossora/tidi_3/blob/1f7365dff604eff1cc029e0e717572b511b5d5e7/src/03_estimate_models.py#L493-L501" TargetMode="External" /><Relationship Type="http://schemas.openxmlformats.org/officeDocument/2006/relationships/hyperlink" Id="rId50" Target="https://github.com/chaossora/tidi_3/blob/1f7365dff604eff1cc029e0e717572b511b5d5e7/src/03_estimate_models.py#L495-L503" TargetMode="External" /><Relationship Type="http://schemas.openxmlformats.org/officeDocument/2006/relationships/hyperlink" Id="rId49" Target="https://github.com/chaossora/tidi_3/blob/1f7365dff604eff1cc029e0e717572b511b5d5e7/src/03_estimate_models.py#L505-L514" TargetMode="External" /><Relationship Type="http://schemas.openxmlformats.org/officeDocument/2006/relationships/hyperlink" Id="rId51" Target="https://github.com/chaossora/tidi_3/blob/1f7365dff604eff1cc029e0e717572b511b5d5e7/src/03_estimate_models.py#L520-L529" TargetMode="External" /><Relationship Type="http://schemas.openxmlformats.org/officeDocument/2006/relationships/hyperlink" Id="rId63" Target="https://github.com/chaossora/tidi_3/blob/1f7365dff604eff1cc029e0e717572b511b5d5e7/src/03_estimate_models.py#L523-L529" TargetMode="External" /><Relationship Type="http://schemas.openxmlformats.org/officeDocument/2006/relationships/hyperlink" Id="rId64" Target="https://github.com/chaossora/tidi_3/blob/1f7365dff604eff1cc029e0e717572b511b5d5e7/src/03_estimate_models.py#L531-L539" TargetMode="External" /><Relationship Type="http://schemas.openxmlformats.org/officeDocument/2006/relationships/hyperlink" Id="rId60" Target="https://github.com/chaossora/tidi_3/blob/1f7365dff604eff1cc029e0e717572b511b5d5e7/src/03_estimate_models.py#L536-L544" TargetMode="External" /><Relationship Type="http://schemas.openxmlformats.org/officeDocument/2006/relationships/hyperlink" Id="rId38" Target="https://github.com/chaossora/tidi_3/blob/1f7365dff604eff1cc029e0e717572b511b5d5e7/src/03_estimate_models.py#L579-L587" TargetMode="External" /><Relationship Type="http://schemas.openxmlformats.org/officeDocument/2006/relationships/hyperlink" Id="rId39" Target="https://github.com/chaossora/tidi_3/blob/1f7365dff604eff1cc029e0e717572b511b5d5e7/src/03_estimate_models.py#L589-L597" TargetMode="External" /><Relationship Type="http://schemas.openxmlformats.org/officeDocument/2006/relationships/hyperlink" Id="rId72" Target="https://github.com/chaossora/tidi_3/blob/1f7365dff604eff1cc029e0e717572b511b5d5e7/src/04_forecast_scenarios.py" TargetMode="External" /><Relationship Type="http://schemas.openxmlformats.org/officeDocument/2006/relationships/hyperlink" Id="rId57" Target="https://github.com/chaossora/tidi_3/blob/1f7365dff604eff1cc029e0e717572b511b5d5e7/src/04_forecast_scenarios.py#L12-L20" TargetMode="External" /><Relationship Type="http://schemas.openxmlformats.org/officeDocument/2006/relationships/hyperlink" Id="rId58" Target="https://github.com/chaossora/tidi_3/blob/1f7365dff604eff1cc029e0e717572b511b5d5e7/src/04_forecast_scenarios.py#L13-L16" TargetMode="External" /><Relationship Type="http://schemas.openxmlformats.org/officeDocument/2006/relationships/hyperlink" Id="rId61" Target="https://github.com/chaossora/tidi_3/blob/1f7365dff604eff1cc029e0e717572b511b5d5e7/src/04_forecast_scenarios.py#L9-L17" TargetMode="External" /><Relationship Type="http://schemas.openxmlformats.org/officeDocument/2006/relationships/hyperlink" Id="rId71" Target="https://github.com/chaossora/tidi_3/blob/1f7365dff604eff1cc029e0e717572b511b5d5e7/src/config.py" TargetMode="External" /><Relationship Type="http://schemas.openxmlformats.org/officeDocument/2006/relationships/hyperlink" Id="rId54" Target="https://github.com/chaossora/tidi_3/blob/1f7365dff604eff1cc029e0e717572b511b5d5e7/src/config.py#L126-L134" TargetMode="External" /><Relationship Type="http://schemas.openxmlformats.org/officeDocument/2006/relationships/hyperlink" Id="rId59" Target="https://github.com/chaossora/tidi_3/blob/1f7365dff604eff1cc029e0e717572b511b5d5e7/src/config.py#L135-L143" TargetMode="External" /><Relationship Type="http://schemas.openxmlformats.org/officeDocument/2006/relationships/hyperlink" Id="rId62" Target="https://github.com/chaossora/tidi_3/blob/1f7365dff604eff1cc029e0e717572b511b5d5e7/src/config.py#L144-L152" TargetMode="External" /><Relationship Type="http://schemas.openxmlformats.org/officeDocument/2006/relationships/hyperlink" Id="rId55" Target="https://github.com/chaossora/tidi_3/blob/1f7365dff604eff1cc029e0e717572b511b5d5e7/src/config.py#L156-L164" TargetMode="External" /><Relationship Type="http://schemas.openxmlformats.org/officeDocument/2006/relationships/hyperlink" Id="rId56" Target="https://github.com/chaossora/tidi_3/blob/1f7365dff604eff1cc029e0e717572b511b5d5e7/src/config.py#L158-L166" TargetMode="External" /><Relationship Type="http://schemas.openxmlformats.org/officeDocument/2006/relationships/hyperlink" Id="rId53" Target="https://github.com/chaossora/tidi_3/blob/1f7365dff604eff1cc029e0e717572b511b5d5e7/src/config.py#L54-L62" TargetMode="External" /></Relationships>
</file>

<file path=word/_rels/footnotes.xml.rels><?xml version="1.0" encoding="UTF-8"?><Relationships xmlns="http://schemas.openxmlformats.org/package/2006/relationships"><Relationship Type="http://schemas.openxmlformats.org/officeDocument/2006/relationships/hyperlink" Id="rId69" Target="https://github.com/chaossora/tidi_3/blob/1f7365dff604eff1cc029e0e717572b511b5d5e7/src/01_build_monthly.py" TargetMode="External" /><Relationship Type="http://schemas.openxmlformats.org/officeDocument/2006/relationships/hyperlink" Id="rId32" Target="https://github.com/chaossora/tidi_3/blob/1f7365dff604eff1cc029e0e717572b511b5d5e7/src/01_build_monthly.py#L233-L241" TargetMode="External" /><Relationship Type="http://schemas.openxmlformats.org/officeDocument/2006/relationships/hyperlink" Id="rId30" Target="https://github.com/chaossora/tidi_3/blob/1f7365dff604eff1cc029e0e717572b511b5d5e7/src/01_build_monthly.py#L273-L282" TargetMode="External" /><Relationship Type="http://schemas.openxmlformats.org/officeDocument/2006/relationships/hyperlink" Id="rId31" Target="https://github.com/chaossora/tidi_3/blob/1f7365dff604eff1cc029e0e717572b511b5d5e7/src/01_build_monthly.py#L291-L300" TargetMode="External" /><Relationship Type="http://schemas.openxmlformats.org/officeDocument/2006/relationships/hyperlink" Id="rId35" Target="https://github.com/chaossora/tidi_3/blob/1f7365dff604eff1cc029e0e717572b511b5d5e7/src/01_build_monthly.py#L332-L340" TargetMode="External" /><Relationship Type="http://schemas.openxmlformats.org/officeDocument/2006/relationships/hyperlink" Id="rId33" Target="https://github.com/chaossora/tidi_3/blob/1f7365dff604eff1cc029e0e717572b511b5d5e7/src/01_build_monthly.py#L337-L344" TargetMode="External" /><Relationship Type="http://schemas.openxmlformats.org/officeDocument/2006/relationships/hyperlink" Id="rId24" Target="https://github.com/chaossora/tidi_3/blob/1f7365dff604eff1cc029e0e717572b511b5d5e7/src/01_build_monthly.py#L343-L351" TargetMode="External" /><Relationship Type="http://schemas.openxmlformats.org/officeDocument/2006/relationships/hyperlink" Id="rId36" Target="https://github.com/chaossora/tidi_3/blob/1f7365dff604eff1cc029e0e717572b511b5d5e7/src/01_build_monthly.py#L344-L352" TargetMode="External" /><Relationship Type="http://schemas.openxmlformats.org/officeDocument/2006/relationships/hyperlink" Id="rId34" Target="https://github.com/chaossora/tidi_3/blob/1f7365dff604eff1cc029e0e717572b511b5d5e7/src/01_build_monthly.py#L348-L356" TargetMode="External" /><Relationship Type="http://schemas.openxmlformats.org/officeDocument/2006/relationships/hyperlink" Id="rId25" Target="https://github.com/chaossora/tidi_3/blob/1f7365dff604eff1cc029e0e717572b511b5d5e7/src/01_build_monthly.py#L352-L359" TargetMode="External" /><Relationship Type="http://schemas.openxmlformats.org/officeDocument/2006/relationships/hyperlink" Id="rId68" Target="https://github.com/chaossora/tidi_3/blob/1f7365dff604eff1cc029e0e717572b511b5d5e7/src/02_build_anchor_panel.py" TargetMode="External" /><Relationship Type="http://schemas.openxmlformats.org/officeDocument/2006/relationships/hyperlink" Id="rId22" Target="https://github.com/chaossora/tidi_3/blob/1f7365dff604eff1cc029e0e717572b511b5d5e7/src/02_build_anchor_panel.py#L126-L134" TargetMode="External" /><Relationship Type="http://schemas.openxmlformats.org/officeDocument/2006/relationships/hyperlink" Id="rId23" Target="https://github.com/chaossora/tidi_3/blob/1f7365dff604eff1cc029e0e717572b511b5d5e7/src/02_build_anchor_panel.py#L137-L143" TargetMode="External" /><Relationship Type="http://schemas.openxmlformats.org/officeDocument/2006/relationships/hyperlink" Id="rId26" Target="https://github.com/chaossora/tidi_3/blob/1f7365dff604eff1cc029e0e717572b511b5d5e7/src/02_build_anchor_panel.py#L232-L240" TargetMode="External" /><Relationship Type="http://schemas.openxmlformats.org/officeDocument/2006/relationships/hyperlink" Id="rId27" Target="https://github.com/chaossora/tidi_3/blob/1f7365dff604eff1cc029e0e717572b511b5d5e7/src/02_build_anchor_panel.py#L242-L250" TargetMode="External" /><Relationship Type="http://schemas.openxmlformats.org/officeDocument/2006/relationships/hyperlink" Id="rId28" Target="https://github.com/chaossora/tidi_3/blob/1f7365dff604eff1cc029e0e717572b511b5d5e7/src/02_build_anchor_panel.py#L260-L268" TargetMode="External" /><Relationship Type="http://schemas.openxmlformats.org/officeDocument/2006/relationships/hyperlink" Id="rId29" Target="https://github.com/chaossora/tidi_3/blob/1f7365dff604eff1cc029e0e717572b511b5d5e7/src/02_build_anchor_panel.py#L280-L288" TargetMode="External" /><Relationship Type="http://schemas.openxmlformats.org/officeDocument/2006/relationships/hyperlink" Id="rId70" Target="https://github.com/chaossora/tidi_3/blob/1f7365dff604eff1cc029e0e717572b511b5d5e7/src/03_estimate_models.py" TargetMode="External" /><Relationship Type="http://schemas.openxmlformats.org/officeDocument/2006/relationships/hyperlink" Id="rId40" Target="https://github.com/chaossora/tidi_3/blob/1f7365dff604eff1cc029e0e717572b511b5d5e7/src/03_estimate_models.py#L208-L217" TargetMode="External" /><Relationship Type="http://schemas.openxmlformats.org/officeDocument/2006/relationships/hyperlink" Id="rId41" Target="https://github.com/chaossora/tidi_3/blob/1f7365dff604eff1cc029e0e717572b511b5d5e7/src/03_estimate_models.py#L221-L229" TargetMode="External" /><Relationship Type="http://schemas.openxmlformats.org/officeDocument/2006/relationships/hyperlink" Id="rId42" Target="https://github.com/chaossora/tidi_3/blob/1f7365dff604eff1cc029e0e717572b511b5d5e7/src/03_estimate_models.py#L228-L236" TargetMode="External" /><Relationship Type="http://schemas.openxmlformats.org/officeDocument/2006/relationships/hyperlink" Id="rId43" Target="https://github.com/chaossora/tidi_3/blob/1f7365dff604eff1cc029e0e717572b511b5d5e7/src/03_estimate_models.py#L231-L239" TargetMode="External" /><Relationship Type="http://schemas.openxmlformats.org/officeDocument/2006/relationships/hyperlink" Id="rId44" Target="https://github.com/chaossora/tidi_3/blob/1f7365dff604eff1cc029e0e717572b511b5d5e7/src/03_estimate_models.py#L376-L384" TargetMode="External" /><Relationship Type="http://schemas.openxmlformats.org/officeDocument/2006/relationships/hyperlink" Id="rId45" Target="https://github.com/chaossora/tidi_3/blob/1f7365dff604eff1cc029e0e717572b511b5d5e7/src/03_estimate_models.py#L400-L408" TargetMode="External" /><Relationship Type="http://schemas.openxmlformats.org/officeDocument/2006/relationships/hyperlink" Id="rId46" Target="https://github.com/chaossora/tidi_3/blob/1f7365dff604eff1cc029e0e717572b511b5d5e7/src/03_estimate_models.py#L404-L413" TargetMode="External" /><Relationship Type="http://schemas.openxmlformats.org/officeDocument/2006/relationships/hyperlink" Id="rId47" Target="https://github.com/chaossora/tidi_3/blob/1f7365dff604eff1cc029e0e717572b511b5d5e7/src/03_estimate_models.py#L426-L435" TargetMode="External" /><Relationship Type="http://schemas.openxmlformats.org/officeDocument/2006/relationships/hyperlink" Id="rId48" Target="https://github.com/chaossora/tidi_3/blob/1f7365dff604eff1cc029e0e717572b511b5d5e7/src/03_estimate_models.py#L493-L501" TargetMode="External" /><Relationship Type="http://schemas.openxmlformats.org/officeDocument/2006/relationships/hyperlink" Id="rId50" Target="https://github.com/chaossora/tidi_3/blob/1f7365dff604eff1cc029e0e717572b511b5d5e7/src/03_estimate_models.py#L495-L503" TargetMode="External" /><Relationship Type="http://schemas.openxmlformats.org/officeDocument/2006/relationships/hyperlink" Id="rId49" Target="https://github.com/chaossora/tidi_3/blob/1f7365dff604eff1cc029e0e717572b511b5d5e7/src/03_estimate_models.py#L505-L514" TargetMode="External" /><Relationship Type="http://schemas.openxmlformats.org/officeDocument/2006/relationships/hyperlink" Id="rId51" Target="https://github.com/chaossora/tidi_3/blob/1f7365dff604eff1cc029e0e717572b511b5d5e7/src/03_estimate_models.py#L520-L529" TargetMode="External" /><Relationship Type="http://schemas.openxmlformats.org/officeDocument/2006/relationships/hyperlink" Id="rId63" Target="https://github.com/chaossora/tidi_3/blob/1f7365dff604eff1cc029e0e717572b511b5d5e7/src/03_estimate_models.py#L523-L529" TargetMode="External" /><Relationship Type="http://schemas.openxmlformats.org/officeDocument/2006/relationships/hyperlink" Id="rId64" Target="https://github.com/chaossora/tidi_3/blob/1f7365dff604eff1cc029e0e717572b511b5d5e7/src/03_estimate_models.py#L531-L539" TargetMode="External" /><Relationship Type="http://schemas.openxmlformats.org/officeDocument/2006/relationships/hyperlink" Id="rId60" Target="https://github.com/chaossora/tidi_3/blob/1f7365dff604eff1cc029e0e717572b511b5d5e7/src/03_estimate_models.py#L536-L544" TargetMode="External" /><Relationship Type="http://schemas.openxmlformats.org/officeDocument/2006/relationships/hyperlink" Id="rId38" Target="https://github.com/chaossora/tidi_3/blob/1f7365dff604eff1cc029e0e717572b511b5d5e7/src/03_estimate_models.py#L579-L587" TargetMode="External" /><Relationship Type="http://schemas.openxmlformats.org/officeDocument/2006/relationships/hyperlink" Id="rId39" Target="https://github.com/chaossora/tidi_3/blob/1f7365dff604eff1cc029e0e717572b511b5d5e7/src/03_estimate_models.py#L589-L597" TargetMode="External" /><Relationship Type="http://schemas.openxmlformats.org/officeDocument/2006/relationships/hyperlink" Id="rId72" Target="https://github.com/chaossora/tidi_3/blob/1f7365dff604eff1cc029e0e717572b511b5d5e7/src/04_forecast_scenarios.py" TargetMode="External" /><Relationship Type="http://schemas.openxmlformats.org/officeDocument/2006/relationships/hyperlink" Id="rId57" Target="https://github.com/chaossora/tidi_3/blob/1f7365dff604eff1cc029e0e717572b511b5d5e7/src/04_forecast_scenarios.py#L12-L20" TargetMode="External" /><Relationship Type="http://schemas.openxmlformats.org/officeDocument/2006/relationships/hyperlink" Id="rId58" Target="https://github.com/chaossora/tidi_3/blob/1f7365dff604eff1cc029e0e717572b511b5d5e7/src/04_forecast_scenarios.py#L13-L16" TargetMode="External" /><Relationship Type="http://schemas.openxmlformats.org/officeDocument/2006/relationships/hyperlink" Id="rId61" Target="https://github.com/chaossora/tidi_3/blob/1f7365dff604eff1cc029e0e717572b511b5d5e7/src/04_forecast_scenarios.py#L9-L17" TargetMode="External" /><Relationship Type="http://schemas.openxmlformats.org/officeDocument/2006/relationships/hyperlink" Id="rId71" Target="https://github.com/chaossora/tidi_3/blob/1f7365dff604eff1cc029e0e717572b511b5d5e7/src/config.py" TargetMode="External" /><Relationship Type="http://schemas.openxmlformats.org/officeDocument/2006/relationships/hyperlink" Id="rId54" Target="https://github.com/chaossora/tidi_3/blob/1f7365dff604eff1cc029e0e717572b511b5d5e7/src/config.py#L126-L134" TargetMode="External" /><Relationship Type="http://schemas.openxmlformats.org/officeDocument/2006/relationships/hyperlink" Id="rId59" Target="https://github.com/chaossora/tidi_3/blob/1f7365dff604eff1cc029e0e717572b511b5d5e7/src/config.py#L135-L143" TargetMode="External" /><Relationship Type="http://schemas.openxmlformats.org/officeDocument/2006/relationships/hyperlink" Id="rId62" Target="https://github.com/chaossora/tidi_3/blob/1f7365dff604eff1cc029e0e717572b511b5d5e7/src/config.py#L144-L152" TargetMode="External" /><Relationship Type="http://schemas.openxmlformats.org/officeDocument/2006/relationships/hyperlink" Id="rId55" Target="https://github.com/chaossora/tidi_3/blob/1f7365dff604eff1cc029e0e717572b511b5d5e7/src/config.py#L156-L164" TargetMode="External" /><Relationship Type="http://schemas.openxmlformats.org/officeDocument/2006/relationships/hyperlink" Id="rId56" Target="https://github.com/chaossora/tidi_3/blob/1f7365dff604eff1cc029e0e717572b511b5d5e7/src/config.py#L158-L166" TargetMode="External" /><Relationship Type="http://schemas.openxmlformats.org/officeDocument/2006/relationships/hyperlink" Id="rId53" Target="https://github.com/chaossora/tidi_3/blob/1f7365dff604eff1cc029e0e717572b511b5d5e7/src/config.py#L54-L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2025-11-06T11:02:30Z</dcterms:created>
  <dcterms:modified xsi:type="dcterms:W3CDTF">2025-11-06T11:02:30Z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