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Analysis of Nuclear Migration and Fragmentation by Time-Lapse Microscopy(A) Single frames illustrating the migration of three nuclei (yellow arrows) along a myofiber, of which two are incorporated into a terminal aggregate by 11.4 h. One nucleus (green arrow) remained stationary during this period.(B) Single frames illustrating the production of viable multinucleate fragments from a myofiber. Note the presence of a trinucleate aggregate (arrowed green) that separates after lateral breakage of the fiber (0 min, arrowed yellow). This fragment subsequently extends cytoplasmic processes (14.3 and 15.4 h) and migrates over the culture substratum.Series (A) and (B) begin at 6 h after plating. Scale bars: (A) 50 μm; (B) 200 μm.</w:t>
        <w:br/>
      </w:r>
    </w:p>
    <w:p>
      <w:r>
        <w:t xml:space="preserve">Question: What is the scale bar for panel A? </w:t>
        <w:br/>
        <w:t xml:space="preserve"> </w:t>
        <w:br/>
        <w:t xml:space="preserve">A:100 μm </w:t>
        <w:br/>
        <w:t xml:space="preserve">B:50 μm </w:t>
        <w:br/>
        <w:t xml:space="preserve">C:200 μm </w:t>
        <w:br/>
        <w:t xml:space="preserve">D:150 μm </w:t>
        <w:br/>
      </w:r>
    </w:p>
    <w:p>
      <w:r>
        <w:t>Answer:  B:50 μm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