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figure shows static acquisition images with gamma camera 2, 24, and 48 h, and 2, 24, 48 and 72 h after inoculation with 111In-Oxine-labelled iDC and mDC, respectively, for patient no. 3. Greater migration activity of mDC is clearly visible. (IS, inoculation site: LN, lymph node).</w:t>
        <w:br/>
      </w:r>
    </w:p>
    <w:p>
      <w:r>
        <w:t xml:space="preserve">Question:  What type of images were taken? </w:t>
        <w:br/>
        <w:t xml:space="preserve"> </w:t>
        <w:br/>
        <w:t xml:space="preserve">A: X-ray </w:t>
        <w:br/>
        <w:t xml:space="preserve">B: CT scan </w:t>
        <w:br/>
        <w:t xml:space="preserve">C: MRI </w:t>
        <w:br/>
        <w:t xml:space="preserve">D: Gamma camera 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