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figure shows static acquisition images with gamma camera 2, 24, and 48 h, and 2, 24, 48 and 72 h after inoculation with 111In-Oxine-labelled iDC and mDC, respectively, for patient no. 3. Greater migration activity of mDC is clearly visible. (IS, inoculation site: LN, lymph node).</w:t>
        <w:br/>
      </w:r>
    </w:p>
    <w:p>
      <w:r>
        <w:t xml:space="preserve">Question:  How long after inoculation were images taken? </w:t>
        <w:br/>
        <w:t xml:space="preserve"> </w:t>
        <w:br/>
        <w:t xml:space="preserve">A: 2, 24 and 48 minutes </w:t>
        <w:br/>
        <w:t xml:space="preserve">B: 2, 24 and 48 hours </w:t>
        <w:br/>
        <w:t xml:space="preserve">C: 2, 24 and 48 days </w:t>
        <w:br/>
        <w:t xml:space="preserve">D: 2, 24 and 48 weeks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