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The figure shows static acquisition images with gamma camera 2, 24, and 48 h, and 2, 24, 48 and 72 h after inoculation with 111In-Oxine-labelled iDC and mDC, respectively, for patient no. 3. Greater migration activity of mDC is clearly visible. (IS, inoculation site: LN, lymph node).</w:t>
        <w:br/>
      </w:r>
    </w:p>
    <w:p>
      <w:r>
        <w:t xml:space="preserve">Question:  What was the label used for iDC and mDC? </w:t>
        <w:br/>
        <w:t xml:space="preserve"> </w:t>
        <w:br/>
        <w:t xml:space="preserve">A: 131I-Oxine </w:t>
        <w:br/>
        <w:t xml:space="preserve">B: 111In-Oxide </w:t>
        <w:br/>
        <w:t xml:space="preserve">C: 111In-Oxine </w:t>
        <w:br/>
        <w:t xml:space="preserve">D: 123I-Oxide </w:t>
        <w:br/>
      </w:r>
    </w:p>
    <w:p>
      <w:r>
        <w:t>Answer:  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