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figure shows static acquisition images with gamma camera 2, 24, and 48 h, and 2, 24, 48 and 72 h after inoculation with 111In-Oxine-labelled iDC and mDC, respectively, for patient no. 3. Greater migration activity of mDC is clearly visible. (IS, inoculation site: LN, lymph node).</w:t>
        <w:br/>
      </w:r>
    </w:p>
    <w:p>
      <w:r>
        <w:t xml:space="preserve">Question:  For which patient were these images taken? </w:t>
        <w:br/>
        <w:t xml:space="preserve"> </w:t>
        <w:br/>
        <w:t xml:space="preserve">A: Patient no. 1 </w:t>
        <w:br/>
        <w:t xml:space="preserve">B: Patient no. 2 </w:t>
        <w:br/>
        <w:t xml:space="preserve">C: Patient no. 3 </w:t>
        <w:br/>
        <w:t xml:space="preserve">D: Patient no. 4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