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figure shows static acquisition images with gamma camera 2, 24, and 48 h, and 2, 24, 48 and 72 h after inoculation with 111In-Oxine-labelled iDC and mDC, respectively, for patient no. 3. Greater migration activity of mDC is clearly visible. (IS, inoculation site: LN, lymph node).</w:t>
        <w:br/>
      </w:r>
    </w:p>
    <w:p>
      <w:r>
        <w:t xml:space="preserve">Question:  What is visible from the images? </w:t>
        <w:br/>
        <w:t xml:space="preserve"> </w:t>
        <w:br/>
        <w:t xml:space="preserve">A: Greater migration activity of iDC </w:t>
        <w:br/>
        <w:t xml:space="preserve">B: Greater migration activity of mDC </w:t>
        <w:br/>
        <w:t xml:space="preserve">C: Equal migration activity of iDC and mDC </w:t>
        <w:br/>
        <w:t xml:space="preserve">D: No migration activity is visible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