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Echocardiographic apical four-chamber images (end-systolic frames) from two patients with and without contractile reserve.</w:t>
        <w:br/>
      </w:r>
    </w:p>
    <w:p>
      <w:r>
        <w:t>Question:  What kind of images were used in this study?</w:t>
        <w:br/>
        <w:t xml:space="preserve"> </w:t>
        <w:br/>
        <w:t xml:space="preserve">A:Transvaginal </w:t>
        <w:br/>
        <w:t xml:space="preserve">B:Endocavitary </w:t>
        <w:br/>
        <w:t xml:space="preserve">C:Apical four-chamber </w:t>
        <w:br/>
        <w:t xml:space="preserve">D:Intercostal  </w:t>
        <w:br/>
      </w:r>
    </w:p>
    <w:p>
      <w:r>
        <w:t xml:space="preserve">Answer:  C: Apical four-chamber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