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Echocardiographic apical four-chamber images (end-systolic frames) from two patients with and without contractile reserve.</w:t>
        <w:br/>
      </w:r>
    </w:p>
    <w:p>
      <w:r>
        <w:t>Question:  What was the purpose of using images with and without contractile reserve?</w:t>
        <w:br/>
        <w:t xml:space="preserve"> </w:t>
        <w:br/>
        <w:t xml:space="preserve">A:To evaluate global hemodynamics </w:t>
        <w:br/>
        <w:t xml:space="preserve">B:To assess the valvular function </w:t>
        <w:br/>
        <w:t xml:space="preserve">C:To calculate ejection fraction </w:t>
        <w:br/>
        <w:t xml:space="preserve">D:To determine the presence of contractile reserve </w:t>
        <w:br/>
      </w:r>
    </w:p>
    <w:p>
      <w:r>
        <w:t xml:space="preserve">Answer:  D: To determine the presence of contractile reserve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