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Cytotoxicity and OAS1 induction with RNAi vectors. In A, morphology was observed using phase contrast microscopy of non-transduced IS-1 cells, or cells six days after transduction with vectors leading to expression of no shRNA (U6PT), a 25 mer shRNA targeting PAI-2 (sh325) and a scrambled 25 mer control shRNA (sh325scr). B shows comparison of OAS1 expression in non-transduced cells or cells four days after transduction with U6PT, sh325 and sh325scr vectors, by QRT-PCR. Each target gene was detected in duplicate, error bars represent the standard deviation of mean values.</w:t>
        <w:br/>
      </w:r>
    </w:p>
    <w:p>
      <w:r>
        <w:t xml:space="preserve">Question: What is being measured in panel A of the figure? </w:t>
        <w:br/>
        <w:t xml:space="preserve"> </w:t>
        <w:br/>
        <w:t xml:space="preserve">A:OAS1 expression </w:t>
        <w:br/>
        <w:t xml:space="preserve">B:Gene duplication </w:t>
        <w:br/>
        <w:t xml:space="preserve">C:Morphology using phase contrast microscopy </w:t>
        <w:br/>
        <w:t xml:space="preserve">D:Gene translation  </w:t>
        <w:br/>
      </w:r>
    </w:p>
    <w:p>
      <w:r>
        <w:t>Answer:  Morphology using phase contrast microscopy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