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Cytotoxicity and OAS1 induction with RNAi vectors. In A, morphology was observed using phase contrast microscopy of non-transduced IS-1 cells, or cells six days after transduction with vectors leading to expression of no shRNA (U6PT), a 25 mer shRNA targeting PAI-2 (sh325) and a scrambled 25 mer control shRNA (sh325scr). B shows comparison of OAS1 expression in non-transduced cells or cells four days after transduction with U6PT, sh325 and sh325scr vectors, by QRT-PCR. Each target gene was detected in duplicate, error bars represent the standard deviation of mean values.</w:t>
        <w:br/>
      </w:r>
    </w:p>
    <w:p>
      <w:r>
        <w:t xml:space="preserve">Question: Which vector(s) led to the expression of a 25 mer shRNA targeting PAI-2? </w:t>
        <w:br/>
        <w:t xml:space="preserve"> </w:t>
        <w:br/>
        <w:t xml:space="preserve">A:U6PT </w:t>
        <w:br/>
        <w:t xml:space="preserve">B:sh325 </w:t>
        <w:br/>
        <w:t xml:space="preserve">C:sh325scr </w:t>
        <w:br/>
        <w:t xml:space="preserve">D:Both sh325 and sh325scr vectors  </w:t>
        <w:br/>
      </w:r>
    </w:p>
    <w:p>
      <w:r>
        <w:t>Answer:  sh325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