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Cytotoxicity and OAS1 induction with RNAi vectors. In A, morphology was observed using phase contrast microscopy of non-transduced IS-1 cells, or cells six days after transduction with vectors leading to expression of no shRNA (U6PT), a 25 mer shRNA targeting PAI-2 (sh325) and a scrambled 25 mer control shRNA (sh325scr). B shows comparison of OAS1 expression in non-transduced cells or cells four days after transduction with U6PT, sh325 and sh325scr vectors, by QRT-PCR. Each target gene was detected in duplicate, error bars represent the standard deviation of mean values.</w:t>
        <w:br/>
      </w:r>
    </w:p>
    <w:p>
      <w:r>
        <w:t xml:space="preserve">Question: How long after transduction were cells analyzed for OAS1 expression in panel B? </w:t>
        <w:br/>
        <w:t xml:space="preserve"> </w:t>
        <w:br/>
        <w:t xml:space="preserve">A:Four days </w:t>
        <w:br/>
        <w:t xml:space="preserve">B:Six days </w:t>
        <w:br/>
        <w:t xml:space="preserve">C:Two days </w:t>
        <w:br/>
        <w:t xml:space="preserve">D:Three days  </w:t>
        <w:br/>
      </w:r>
    </w:p>
    <w:p>
      <w:r>
        <w:t>Answer:  Four days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