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Cytotoxicity and OAS1 induction with RNAi vectors. In A, morphology was observed using phase contrast microscopy of non-transduced IS-1 cells, or cells six days after transduction with vectors leading to expression of no shRNA (U6PT), a 25 mer shRNA targeting PAI-2 (sh325) and a scrambled 25 mer control shRNA (sh325scr). B shows comparison of OAS1 expression in non-transduced cells or cells four days after transduction with U6PT, sh325 and sh325scr vectors, by QRT-PCR. Each target gene was detected in duplicate, error bars represent the standard deviation of mean values.</w:t>
        <w:br/>
      </w:r>
    </w:p>
    <w:p>
      <w:r>
        <w:t xml:space="preserve">Question: How many times was each target gene detected in panel B? </w:t>
        <w:br/>
        <w:t xml:space="preserve"> </w:t>
        <w:br/>
        <w:t xml:space="preserve">A:Once </w:t>
        <w:br/>
        <w:t xml:space="preserve">B:Two times </w:t>
        <w:br/>
        <w:t xml:space="preserve">C:Three times </w:t>
        <w:br/>
        <w:t xml:space="preserve">D:Duplicate  </w:t>
        <w:br/>
      </w:r>
    </w:p>
    <w:p>
      <w:r>
        <w:t>Answer:  Duplicate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