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Cytotoxicity and OAS1 induction with RNAi vectors. In A, morphology was observed using phase contrast microscopy of non-transduced IS-1 cells, or cells six days after transduction with vectors leading to expression of no shRNA (U6PT), a 25 mer shRNA targeting PAI-2 (sh325) and a scrambled 25 mer control shRNA (sh325scr). B shows comparison of OAS1 expression in non-transduced cells or cells four days after transduction with U6PT, sh325 and sh325scr vectors, by QRT-PCR. Each target gene was detected in duplicate, error bars represent the standard deviation of mean values.</w:t>
        <w:br/>
      </w:r>
    </w:p>
    <w:p>
      <w:r>
        <w:t xml:space="preserve">Question: What is the purpose of the scrambled 25 mer control shRNA in panel A? </w:t>
        <w:br/>
        <w:t xml:space="preserve"> </w:t>
        <w:br/>
        <w:t xml:space="preserve">A:To detect target gene </w:t>
        <w:br/>
        <w:t xml:space="preserve">B:To induce gene expression </w:t>
        <w:br/>
        <w:t xml:space="preserve">C:To serve as a negative control </w:t>
        <w:br/>
        <w:t xml:space="preserve">D:To serve as a positive control  </w:t>
        <w:br/>
      </w:r>
    </w:p>
    <w:p>
      <w:r>
        <w:t>Answer:  To serve as a negative control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