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Biopsy form grafted area of the lower eyelid. Hematoxylene-eosin staining, × 100 magnification.</w:t>
        <w:br/>
      </w:r>
    </w:p>
    <w:p>
      <w:r>
        <w:t xml:space="preserve">Question:  Which technique was used to obtain the biopsy? </w:t>
        <w:br/>
        <w:t xml:space="preserve"> </w:t>
        <w:br/>
        <w:t xml:space="preserve">A: Physical examination </w:t>
        <w:br/>
        <w:t xml:space="preserve">B: MRI </w:t>
        <w:br/>
        <w:t xml:space="preserve">C: CT scan </w:t>
        <w:br/>
        <w:t xml:space="preserve">D: Direct tissue biopsy. </w:t>
        <w:br/>
      </w:r>
    </w:p>
    <w:p>
      <w:r>
        <w:t xml:space="preserve">Answer:  D: Direct tissue biopsy.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