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Computational models of wild type S1P4 and its E3.29(122)Q mutant with S1P and LPA species. Computational models of the complexes between the wild type S1P4 or its E3.29(122)Q mutant with S1P or various LPA species generated by Autodock 3.0 and minimised using the MMFF94 forcefield in the MOE program. Complexes in each panel are shown from the same viewpoint with the extracellular end of the receptors oriented to the top of the figure. Standard element color codes are used with grey, white red, blue and magenta representing carbon, hydrogen, oxygen, nitrogen and phosphorous. Ribbons are shaded from red at the amino-terminus to blue at the carboxy-terminus. (A) Model of the complex between S1P (spacefilling) and the wild type S1P4 receptor. Residues in the receptor involved in ion pairs with S1P are shown as stick models and labelled. (B) Superimposition of the wild type S1P4 complex with S1P (orange) and the E3.29(122)Q S1P4 mutant complex with 14:0 LPA (green). For clarity, the only position at which the modelled amino acid position is shown for both receptor models is 3.29(122). Other residues had very similar optimised positions in the two model structures. (C) Superimposition of wild type S1P4 complexes with 18:1 LPA (cyan), 16:0 LPA (yellow) and 14:0 LPA (green) on E3.29(122)Q mutant complexes with 18:1 LPA (blue-green), 16:0 LPA (gold) and S1P (orange). For clarity, the only position at which modelled amino acid position is shown for both the wild type and mutant receptor models is 3.29(122). Other residues had very similar optimised positions in all model structures. (D) Space-filling models which represent the minimised extended conformation of each structure were constructed using SYBYL 6.9 software (Tripos Inc., St. Louis, MO., U.S.A.). The distance between phosphorus and terminal carbon atoms was predicted for each structure listed from top to bottom: 18:1 LPA, 27.0 Å; 16:0 LPA, 26.7 Å; 14:0 LPA, 24.2 Å; S1P, 24.0 Å.</w:t>
        <w:br/>
      </w:r>
    </w:p>
    <w:p>
      <w:r>
        <w:t xml:space="preserve">Question:  What program was used to generate and minimize the computational models of the complexes between the wild type S1P4 or its E3.29(122)Q mutant with S1P or various LPA species? </w:t>
        <w:br/>
        <w:t xml:space="preserve"> </w:t>
        <w:br/>
        <w:t xml:space="preserve">A: Autodock 3.0 and MOE </w:t>
        <w:br/>
        <w:t xml:space="preserve">B: SYBYL 6.9 </w:t>
        <w:br/>
        <w:t xml:space="preserve">C: MOE </w:t>
        <w:br/>
        <w:t xml:space="preserve">D: Autodock 4.0. </w:t>
        <w:br/>
      </w:r>
    </w:p>
    <w:p>
      <w:r>
        <w:t xml:space="preserve">Answer:  A: Autodock 3.0 and MOE.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