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Computational models of wild type S1P4 and its E3.29(122)Q mutant with S1P and LPA species. Computational models of the complexes between the wild type S1P4 or its E3.29(122)Q mutant with S1P or various LPA species generated by Autodock 3.0 and minimised using the MMFF94 forcefield in the MOE program. Complexes in each panel are shown from the same viewpoint with the extracellular end of the receptors oriented to the top of the figure. Standard element color codes are used with grey, white red, blue and magenta representing carbon, hydrogen, oxygen, nitrogen and phosphorous. Ribbons are shaded from red at the amino-terminus to blue at the carboxy-terminus. (A) Model of the complex between S1P (spacefilling) and the wild type S1P4 receptor. Residues in the receptor involved in ion pairs with S1P are shown as stick models and labelled. (B) Superimposition of the wild type S1P4 complex with S1P (orange) and the E3.29(122)Q S1P4 mutant complex with 14:0 LPA (green). For clarity, the only position at which the modelled amino acid position is shown for both receptor models is 3.29(122). Other residues had very similar optimised positions in the two model structures. (C) Superimposition of wild type S1P4 complexes with 18:1 LPA (cyan), 16:0 LPA (yellow) and 14:0 LPA (green) on E3.29(122)Q mutant complexes with 18:1 LPA (blue-green), 16:0 LPA (gold) and S1P (orange). For clarity, the only position at which modelled amino acid position is shown for both the wild type and mutant receptor models is 3.29(122). Other residues had very similar optimised positions in all model structures. (D) Space-filling models which represent the minimised extended conformation of each structure were constructed using SYBYL 6.9 software (Tripos Inc., St. Louis, MO., U.S.A.). The distance between phosphorus and terminal carbon atoms was predicted for each structure listed from top to bottom: 18:1 LPA, 27.0 Å; 16:0 LPA, 26.7 Å; 14:0 LPA, 24.2 Å; S1P, 24.0 Å.</w:t>
        <w:br/>
      </w:r>
    </w:p>
    <w:p>
      <w:r>
        <w:t xml:space="preserve">Question:  What colors are used to represent carbon, hydrogen, oxygen, nitrogen, and phosphorus, respectively? </w:t>
        <w:br/>
        <w:t xml:space="preserve"> </w:t>
        <w:br/>
        <w:t xml:space="preserve">A: black, white, red, blue, and green </w:t>
        <w:br/>
        <w:t xml:space="preserve">B: grey, white, red, blue, and magenta </w:t>
        <w:br/>
        <w:t xml:space="preserve">C: grey, white, blue, red, and magenta </w:t>
        <w:br/>
        <w:t xml:space="preserve">D: grey, white, blue, pink, and magenta. </w:t>
        <w:br/>
      </w:r>
    </w:p>
    <w:p>
      <w:r>
        <w:t xml:space="preserve">Answer:  B: grey, white, red, blue, and magenta.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