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Computational models of wild type S1P4 and its E3.29(122)Q mutant with S1P and LPA species. Computational models of the complexes between the wild type S1P4 or its E3.29(122)Q mutant with S1P or various LPA species generated by Autodock 3.0 and minimised using the MMFF94 forcefield in the MOE program. Complexes in each panel are shown from the same viewpoint with the extracellular end of the receptors oriented to the top of the figure. Standard element color codes are used with grey, white red, blue and magenta representing carbon, hydrogen, oxygen, nitrogen and phosphorous. Ribbons are shaded from red at the amino-terminus to blue at the carboxy-terminus. (A) Model of the complex between S1P (spacefilling) and the wild type S1P4 receptor. Residues in the receptor involved in ion pairs with S1P are shown as stick models and labelled. (B) Superimposition of the wild type S1P4 complex with S1P (orange) and the E3.29(122)Q S1P4 mutant complex with 14:0 LPA (green). For clarity, the only position at which the modelled amino acid position is shown for both receptor models is 3.29(122). Other residues had very similar optimised positions in the two model structures. (C) Superimposition of wild type S1P4 complexes with 18:1 LPA (cyan), 16:0 LPA (yellow) and 14:0 LPA (green) on E3.29(122)Q mutant complexes with 18:1 LPA (blue-green), 16:0 LPA (gold) and S1P (orange). For clarity, the only position at which modelled amino acid position is shown for both the wild type and mutant receptor models is 3.29(122). Other residues had very similar optimised positions in all model structures. (D) Space-filling models which represent the minimised extended conformation of each structure were constructed using SYBYL 6.9 software (Tripos Inc., St. Louis, MO., U.S.A.). The distance between phosphorus and terminal carbon atoms was predicted for each structure listed from top to bottom: 18:1 LPA, 27.0 Å; 16:0 LPA, 26.7 Å; 14:0 LPA, 24.2 Å; S1P, 24.0 Å.</w:t>
        <w:br/>
      </w:r>
    </w:p>
    <w:p>
      <w:r>
        <w:t xml:space="preserve">Question:  In the wild type S1P4 complex with S1P, what structures are shown as stick models and labeled? </w:t>
        <w:br/>
        <w:t xml:space="preserve"> </w:t>
        <w:br/>
        <w:t xml:space="preserve">A: The residues involved in hydrogen bonding with S1P </w:t>
        <w:br/>
        <w:t xml:space="preserve">B: The residues involved in van der Waals interaction with S1P </w:t>
        <w:br/>
        <w:t xml:space="preserve">C: The residues involved in ionic interaction with S1P </w:t>
        <w:br/>
        <w:t xml:space="preserve">D: The residues involved in covalent bonding with S1P. </w:t>
        <w:br/>
      </w:r>
    </w:p>
    <w:p>
      <w:r>
        <w:t xml:space="preserve">Answer:  C: The residues involved in ionic interaction with S1P.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