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Computational models of wild type S1P4 and its E3.29(122)Q mutant with S1P and LPA species. Computational models of the complexes between the wild type S1P4 or its E3.29(122)Q mutant with S1P or various LPA species generated by Autodock 3.0 and minimised using the MMFF94 forcefield in the MOE program. Complexes in each panel are shown from the same viewpoint with the extracellular end of the receptors oriented to the top of the figure. Standard element color codes are used with grey, white red, blue and magenta representing carbon, hydrogen, oxygen, nitrogen and phosphorous. Ribbons are shaded from red at the amino-terminus to blue at the carboxy-terminus. (A) Model of the complex between S1P (spacefilling) and the wild type S1P4 receptor. Residues in the receptor involved in ion pairs with S1P are shown as stick models and labelled. (B) Superimposition of the wild type S1P4 complex with S1P (orange) and the E3.29(122)Q S1P4 mutant complex with 14:0 LPA (green). For clarity, the only position at which the modelled amino acid position is shown for both receptor models is 3.29(122). Other residues had very similar optimised positions in the two model structures. (C) Superimposition of wild type S1P4 complexes with 18:1 LPA (cyan), 16:0 LPA (yellow) and 14:0 LPA (green) on E3.29(122)Q mutant complexes with 18:1 LPA (blue-green), 16:0 LPA (gold) and S1P (orange). For clarity, the only position at which modelled amino acid position is shown for both the wild type and mutant receptor models is 3.29(122). Other residues had very similar optimised positions in all model structures. (D) Space-filling models which represent the minimised extended conformation of each structure were constructed using SYBYL 6.9 software (Tripos Inc., St. Louis, MO., U.S.A.). The distance between phosphorus and terminal carbon atoms was predicted for each structure listed from top to bottom: 18:1 LPA, 27.0 Å; 16:0 LPA, 26.7 Å; 14:0 LPA, 24.2 Å; S1P, 24.0 Å.</w:t>
        <w:br/>
      </w:r>
    </w:p>
    <w:p>
      <w:r>
        <w:t xml:space="preserve">Question:  What is the predicted distance between phosphorus and terminal carbon atoms for 14:0 LPA and S1P, respectively? </w:t>
        <w:br/>
        <w:t xml:space="preserve"> </w:t>
        <w:br/>
        <w:t xml:space="preserve">A: 27.0 Å and 26.7 Å </w:t>
        <w:br/>
        <w:t xml:space="preserve">B: 24.0 Å and 26.7 Å </w:t>
        <w:br/>
        <w:t xml:space="preserve">C: 24.2 Å and 26.7 Å </w:t>
        <w:br/>
        <w:t xml:space="preserve">D: 24.2 Å and 24.0 Å. </w:t>
        <w:br/>
      </w:r>
    </w:p>
    <w:p>
      <w:r>
        <w:t xml:space="preserve">Answer:  D: 24.2 Å and 24.0 Å.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