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Transposition of the type 1 IP3R with the Double Barrel Transposon (&lt;DBT&gt;). Transient expression in HEK-293 cells allows identification of in-frame insertions producing truncated GFP- (A) or DsRed- (B) IP3R fusion proteins. Digestion and subsequent re-ligation produces a full-length fluorescent IP3R fusion protein (C) (Scale bar = 20 μm).</w:t>
        <w:br/>
      </w:r>
    </w:p>
    <w:p>
      <w:r>
        <w:t xml:space="preserve">Question:  What is being transposed with the Double Barrel Transposon (&lt;DBT&gt;)? </w:t>
        <w:br/>
        <w:t xml:space="preserve"> </w:t>
        <w:br/>
        <w:t xml:space="preserve">A: Phosphate group </w:t>
        <w:br/>
        <w:t xml:space="preserve">B: RNA polymerase </w:t>
        <w:br/>
        <w:t xml:space="preserve">C: IP3R </w:t>
        <w:br/>
        <w:t xml:space="preserve">D: DNA helicase </w:t>
        <w:br/>
      </w:r>
    </w:p>
    <w:p>
      <w:r>
        <w:t>Answer:  C: IP3R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