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Transposition of the type 1 IP3R with the Double Barrel Transposon (&lt;DBT&gt;). Transient expression in HEK-293 cells allows identification of in-frame insertions producing truncated GFP- (A) or DsRed- (B) IP3R fusion proteins. Digestion and subsequent re-ligation produces a full-length fluorescent IP3R fusion protein (C) (Scale bar = 20 μm).</w:t>
        <w:br/>
      </w:r>
    </w:p>
    <w:p>
      <w:r>
        <w:t xml:space="preserve">Question:  What does transient expression in HEK-293 cells allow identification of? </w:t>
        <w:br/>
        <w:t xml:space="preserve"> </w:t>
        <w:br/>
        <w:t xml:space="preserve">A: DNA origins. </w:t>
        <w:br/>
        <w:t xml:space="preserve">B: Gradual insertion. </w:t>
        <w:br/>
        <w:t xml:space="preserve">C: Full-length fusion proteins. </w:t>
        <w:br/>
        <w:t xml:space="preserve">D: Ribonucleotides. </w:t>
        <w:br/>
      </w:r>
    </w:p>
    <w:p>
      <w:r>
        <w:t xml:space="preserve">Answer:  C: Full-length fusion proteins.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