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Transposition of the type 1 IP3R with the Double Barrel Transposon (&lt;DBT&gt;). Transient expression in HEK-293 cells allows identification of in-frame insertions producing truncated GFP- (A) or DsRed- (B) IP3R fusion proteins. Digestion and subsequent re-ligation produces a full-length fluorescent IP3R fusion protein (C) (Scale bar = 20 μm).</w:t>
        <w:br/>
      </w:r>
    </w:p>
    <w:p>
      <w:r>
        <w:t xml:space="preserve">Question:  What produces a full-length fluorescent IP3R fusion protein? </w:t>
        <w:br/>
        <w:t xml:space="preserve"> </w:t>
        <w:br/>
        <w:t xml:space="preserve">A: Digestion and ligation. </w:t>
        <w:br/>
        <w:t xml:space="preserve">B: Transposition of the type 1 IP3R. </w:t>
        <w:br/>
        <w:t xml:space="preserve">C: Transient expression in HEK-293 cells. </w:t>
        <w:br/>
        <w:t xml:space="preserve">D: Full-length sequence of interactions. </w:t>
        <w:br/>
      </w:r>
    </w:p>
    <w:p>
      <w:r>
        <w:t xml:space="preserve">Answer:  A: Digestion and ligation.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