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Transposition of the type 1 IP3R with the Double Barrel Transposon (&lt;DBT&gt;). Transient expression in HEK-293 cells allows identification of in-frame insertions producing truncated GFP- (A) or DsRed- (B) IP3R fusion proteins. Digestion and subsequent re-ligation produces a full-length fluorescent IP3R fusion protein (C) (Scale bar = 20 μm).</w:t>
        <w:br/>
      </w:r>
    </w:p>
    <w:p>
      <w:r>
        <w:t xml:space="preserve">Question:  What type of fusion proteins are produced in the transposition of the type 1 IP3R with the Double Barrel Transposon? </w:t>
        <w:br/>
        <w:t xml:space="preserve"> </w:t>
        <w:br/>
        <w:t xml:space="preserve">A: Truncated DsRed- IP3R fusion proteins. </w:t>
        <w:br/>
        <w:t xml:space="preserve">B: Full-length GFP- IP3R fusion proteins. </w:t>
        <w:br/>
        <w:t xml:space="preserve">C: Truncated GFP- and DsRed-IP3R fusion proteins </w:t>
        <w:br/>
        <w:t xml:space="preserve">D: Full-length DsRed- IP3R fusion proteins. </w:t>
        <w:br/>
      </w:r>
    </w:p>
    <w:p>
      <w:r>
        <w:t xml:space="preserve">Answer:  C: Truncated GFP- and DsRed-IP3R fusion proteins.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