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Intracellular transport of endocytosed ligands. Cultures of LSEC were pulsed with both TRITC-FSA and FITC-AGG for 1 h at 4°C. Chasing was performed after removal of unbound ligand by washing, and transferring of the cultures to 37°C. The cultures were fixed after chase periods of 10 min or 2 h and examined in fluorescence microscope. At 10 min (A) all TRITC-FSA co-localized with FITC-AGG (yellow colour indicates co-localization) in large ring-shaped vesicles (large arrowheads), and some vesicles with only FITC-AGG were observed (small arrowheads). After 2 h (B), co-localization of FITC-AGG and TRITC-FSA in large vesicles (arrows) was observed together with big vesicles with only FITC-AGG (large arrowheads) and small vesicles with only TRITC-FSA (small arrowheads). Controls show a more perinuclear appearance of TRITC-FSA when pulsed and chased for 2 h alone (C). In other experiments, TRITC-FSA was injected intravenously 1.5 h before isolation of the cells. Following an additional 6.5 h of cultivation at 37°C cultures of LSEC were pulsed with FITC-FSA (D-E), FITC-collagen (F-G), or FITC-mannan (H-I) for 1 h at 4°C. Following a 10 min chase, the FITC-ligands were observed to appear in small vesicles (arrowheads), and did not co-localize with TRITC-FSA (D, F and H). After 2 h, the FITC-ligands were transported to perinuclear compartments that co-localized almost completely with TRITC-FSA (small arrows in E, G and I). Other cultures of LSEC were pulsed for 10 min at 37°C with FITC-bHA. Following a 20 min chase, the FITC-bHA was observed in vesicles distributed all over the cell (arrowheads in J), and a similar appearance was observed after 2 h (arrowheads in K). Occasionally, cells that did not take up TRITC-FSA in vivo, but endocytosed FITC-ligands in vitro (big arrow in I), were observed. Scale bars: 10 μm.</w:t>
        <w:br/>
      </w:r>
    </w:p>
    <w:p>
      <w:r>
        <w:t xml:space="preserve">Question:  What is the purpose of the experiment described in the text? </w:t>
        <w:br/>
        <w:t xml:space="preserve"> </w:t>
        <w:br/>
        <w:t xml:space="preserve">A: To observe the transport of FITC-ligands in LSEC cells. </w:t>
        <w:br/>
        <w:t xml:space="preserve">B: To observe the transport of TRITC-ligands. </w:t>
        <w:br/>
        <w:t xml:space="preserve">C: To observe the difference between TRITC-FSA and FITC-AGG. </w:t>
        <w:br/>
        <w:t xml:space="preserve">D: To observe the perinuclear appearance of TRITC-FSA. </w:t>
        <w:br/>
      </w:r>
    </w:p>
    <w:p>
      <w:r>
        <w:t>Answer:  A: To observe the transport of FITC-ligands in LSEC cells.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