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Histological Architecture of CSR Gene Expression in Breast CancerRepresentative ISH of LOXL2 and SDFR1 and IHC of PLOD2, PLAUR, and ESDN are shown (magnification, 200×). Panels for LOXL2, PLAUR, PLOD2, and ESDN represent cores of normal and invasive ductal breast carcinoma from different patients on the same tissue microarray. Panels for SDFR1 demonstrate staining in adjacent normal and carcinoma cells on the same tissue section. Arrows highlight spindle-shaped stromal cells that stain positive for SDFR1 and PLOD2. No signal was detected for the sense probe for ISH or for control IHC without the primary antibody.</w:t>
        <w:br/>
      </w:r>
    </w:p>
    <w:p>
      <w:r>
        <w:t xml:space="preserve">Question:  What do the arrow highlights in the panels? </w:t>
        <w:br/>
        <w:t xml:space="preserve"> </w:t>
        <w:br/>
        <w:t xml:space="preserve">A:Cancer cells </w:t>
        <w:br/>
        <w:t xml:space="preserve">B:Stromal cells </w:t>
        <w:br/>
        <w:t xml:space="preserve">C:Normal cells </w:t>
        <w:br/>
        <w:t xml:space="preserve">D:Spindle-shaped cells </w:t>
        <w:br/>
      </w:r>
    </w:p>
    <w:p>
      <w:r>
        <w:t xml:space="preserve">Answer:  B:Stromal cells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