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Architecture of CSR Gene Expression in Breast CancerRepresentative ISH of LOXL2 and SDFR1 and IHC of PLOD2, PLAUR, and ESDN are shown (magnification, 200×). Panels for LOXL2, PLAUR, PLOD2, and ESDN represent cores of normal and invasive ductal breast carcinoma from different patients on the same tissue microarray. Panels for SDFR1 demonstrate staining in adjacent normal and carcinoma cells on the same tissue section. Arrows highlight spindle-shaped stromal cells that stain positive for SDFR1 and PLOD2. No signal was detected for the sense probe for ISH or for control IHC without the primary antibody.</w:t>
        <w:br/>
      </w:r>
    </w:p>
    <w:p>
      <w:r>
        <w:t xml:space="preserve">Question:  What was the result of the control IHC without the primary antibody? </w:t>
        <w:br/>
        <w:t xml:space="preserve"> </w:t>
        <w:br/>
        <w:t xml:space="preserve">A:Positive staining was observed </w:t>
        <w:br/>
        <w:t xml:space="preserve">B:Negative staining was observed </w:t>
        <w:br/>
        <w:t xml:space="preserve">C:The result was inconclusive </w:t>
        <w:br/>
        <w:t xml:space="preserve">D:No signal was detected </w:t>
        <w:br/>
      </w:r>
    </w:p>
    <w:p>
      <w:r>
        <w:t>Answer:  D:No signal was detected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