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A) Location of the MVe as visualized on cresyl violet stained section and on x-ray images of parallel sections used in in situ hybridization experiments with the various oligonucleotide probes: B) H3X C) H3X blocking control D) H3A E) H3A blocking control F) H3B G) H3B blocking control H) H3C I) H3C blocking control. Sections are from a representative animal sacrificed 24 h post-lesion. Abbreviations are as follows: MVe, medial vestibular nucleus and Pr, prepositus nucleus. Scale bars are 100 μm.</w:t>
        <w:br/>
      </w:r>
    </w:p>
    <w:p>
      <w:r>
        <w:t xml:space="preserve">Question:  How long after the lesion were the animals sacrificed? </w:t>
        <w:br/>
        <w:t xml:space="preserve"> </w:t>
        <w:br/>
        <w:t xml:space="preserve">A: 12 hours </w:t>
        <w:br/>
        <w:t xml:space="preserve">B: 24 hours </w:t>
        <w:br/>
        <w:t xml:space="preserve">C: 36 hours </w:t>
        <w:br/>
        <w:t xml:space="preserve">D: 48 hours  </w:t>
        <w:br/>
      </w:r>
    </w:p>
    <w:p>
      <w:r>
        <w:t>Answer:  B: 24 hours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