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GFP expression in ET2 line embryos is indistinguishable from endogenous PARG gene expression. 23 hpf embryos collected from a heterozygous outcross were photographed for GFP fluorescence and sibling embryos were fixed for in situ hybridization. (A) In situ hybridization with PARG antisense probe. (B) In situ with GFP antisense probe. (C) Visualization of GFP expression in living embryos using a bandpass GFP filter set. (D) The same embryo as in (C) photographed using a bandpass GFP filter set with a low level of bright field illumination to visualize GFP expression in relative position to the somites.</w:t>
        <w:br/>
      </w:r>
    </w:p>
    <w:p>
      <w:r>
        <w:t xml:space="preserve">Question:  At what age of embryos were GFP fluorescence photographs taken? </w:t>
        <w:br/>
        <w:t xml:space="preserve"> </w:t>
        <w:br/>
        <w:t xml:space="preserve">A: 21 hpf </w:t>
        <w:br/>
        <w:t xml:space="preserve">B: 22 hpf </w:t>
        <w:br/>
        <w:t xml:space="preserve">C: 23 hpf </w:t>
        <w:br/>
        <w:t xml:space="preserve">D: 24 hpf </w:t>
        <w:br/>
      </w:r>
    </w:p>
    <w:p>
      <w:r>
        <w:t>Answer:  C: 23 hpf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