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Aspergillus antigen-induced lung inflammation appears similar in wild-type, Mcp-1-/- and Ccr2-/- mice. H&amp;E stained lung sections from PBS- or Aspergillus antigen-treated wild-type, Mcp-1-/- and Ccr2-/- mice. Representative normal airway from wild-type control mice (A) (similar findings from Mcp-1-/- and Ccr2-/- control mice are not shown). Representative lung sections from Aspergillus antigen-treated wild-type (B), Mcp-1-/- (C) and Ccr2-/- mice (D) demonstrate intense peribronchiolar and perivascular inflammation. Aspergillus antigen exposure and sample collection are described in methods. Magnification: 20× objective.</w:t>
        <w:br/>
      </w:r>
    </w:p>
    <w:p>
      <w:r>
        <w:t xml:space="preserve">Question:  What is the purpose of this study? </w:t>
        <w:br/>
        <w:t xml:space="preserve"> </w:t>
        <w:br/>
        <w:t xml:space="preserve">A: To compare the lung inflammation caused by Aspergillus antigen in wild-type, Mcp-1-/- and Ccr2-/- mice </w:t>
        <w:br/>
        <w:t xml:space="preserve">B: To compare the lung inflammation caused by pollen in wild-type, Mcp-1-/- and Ccr2-/- mice </w:t>
        <w:br/>
        <w:t xml:space="preserve">C: To compare the lung inflammation caused by Aspergillus antigen in wild-type, Mcp-1-/- and Ccr2-/- rats </w:t>
        <w:br/>
        <w:t xml:space="preserve">D: To compare the lung inflammation caused by dust in wild-type, Mcp-1-/- and Ccr2-/- mice  </w:t>
        <w:br/>
      </w:r>
    </w:p>
    <w:p>
      <w:r>
        <w:t xml:space="preserve">Answer:  A: To compare the lung inflammation caused by Aspergillus antigen in wild-type, Mcp-1-/- and Ccr2-/- mice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