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Aspergillus antigen-induced lung inflammation appears similar in wild-type, Mcp-1-/- and Ccr2-/- mice. H&amp;E stained lung sections from PBS- or Aspergillus antigen-treated wild-type, Mcp-1-/- and Ccr2-/- mice. Representative normal airway from wild-type control mice (A) (similar findings from Mcp-1-/- and Ccr2-/- control mice are not shown). Representative lung sections from Aspergillus antigen-treated wild-type (B), Mcp-1-/- (C) and Ccr2-/- mice (D) demonstrate intense peribronchiolar and perivascular inflammation. Aspergillus antigen exposure and sample collection are described in methods. Magnification: 20× objective.</w:t>
        <w:br/>
      </w:r>
    </w:p>
    <w:p>
      <w:r>
        <w:t xml:space="preserve">Question:  What is the method used in exposing the mice to Aspergillus antigen? </w:t>
        <w:br/>
        <w:t xml:space="preserve"> </w:t>
        <w:br/>
        <w:t xml:space="preserve">A: It is not mentioned in the content </w:t>
        <w:br/>
        <w:t xml:space="preserve">B: It is done through nasal swab </w:t>
        <w:br/>
        <w:t xml:space="preserve">C: It is done through oral injection </w:t>
        <w:br/>
        <w:t xml:space="preserve">D: It is done through inhalation  </w:t>
        <w:br/>
      </w:r>
    </w:p>
    <w:p>
      <w:r>
        <w:t xml:space="preserve">Answer:  D: It is done through inhalation 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