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Aspergillus antigen-induced lung inflammation appears similar in wild-type, Mcp-1-/- and Ccr2-/- mice. H&amp;E stained lung sections from PBS- or Aspergillus antigen-treated wild-type, Mcp-1-/- and Ccr2-/- mice. Representative normal airway from wild-type control mice (A) (similar findings from Mcp-1-/- and Ccr2-/- control mice are not shown). Representative lung sections from Aspergillus antigen-treated wild-type (B), Mcp-1-/- (C) and Ccr2-/- mice (D) demonstrate intense peribronchiolar and perivascular inflammation. Aspergillus antigen exposure and sample collection are described in methods. Magnification: 20× objective.</w:t>
        <w:br/>
      </w:r>
    </w:p>
    <w:p>
      <w:r>
        <w:t xml:space="preserve">Question:  What does H&amp;E stain stands for? </w:t>
        <w:br/>
        <w:t xml:space="preserve"> </w:t>
        <w:br/>
        <w:t xml:space="preserve">A: Hydrochloric and Ether stain </w:t>
        <w:br/>
        <w:t xml:space="preserve">B: Hematoxylin and Eosin stain </w:t>
        <w:br/>
        <w:t xml:space="preserve">C: Hydrogen and Enzyme stain </w:t>
        <w:br/>
        <w:t xml:space="preserve">D: Hemoglobin and Erythrocyte stain  </w:t>
        <w:br/>
      </w:r>
    </w:p>
    <w:p>
      <w:r>
        <w:t xml:space="preserve">Answer:  B: Hematoxylin and Eosin stain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