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Aspergillus antigen-induced lung inflammation appears similar in wild-type, Mcp-1-/- and Ccr2-/- mice. H&amp;E stained lung sections from PBS- or Aspergillus antigen-treated wild-type, Mcp-1-/- and Ccr2-/- mice. Representative normal airway from wild-type control mice (A) (similar findings from Mcp-1-/- and Ccr2-/- control mice are not shown). Representative lung sections from Aspergillus antigen-treated wild-type (B), Mcp-1-/- (C) and Ccr2-/- mice (D) demonstrate intense peribronchiolar and perivascular inflammation. Aspergillus antigen exposure and sample collection are described in methods. Magnification: 20× objective.</w:t>
        <w:br/>
      </w:r>
    </w:p>
    <w:p>
      <w:r>
        <w:t xml:space="preserve">Question:  What type of inflammation is demonstrated in the lung sections of mice? </w:t>
        <w:br/>
        <w:t xml:space="preserve"> </w:t>
        <w:br/>
        <w:t xml:space="preserve">A: Intense peribronchiolar and perivascular inflammation </w:t>
        <w:br/>
        <w:t xml:space="preserve">B: Moderate pleural inflammation </w:t>
        <w:br/>
        <w:t xml:space="preserve">C: Intense follicular inflammation </w:t>
        <w:br/>
        <w:t xml:space="preserve">D: Mild parenchymal inflammation  </w:t>
        <w:br/>
      </w:r>
    </w:p>
    <w:p>
      <w:r>
        <w:t xml:space="preserve">Answer:  A: Intense peribronchiolar and perivascular inflammation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