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Aspergillus antigen-induced lung inflammation appears similar in wild-type, Mcp-1-/- and Ccr2-/- mice. H&amp;E stained lung sections from PBS- or Aspergillus antigen-treated wild-type, Mcp-1-/- and Ccr2-/- mice. Representative normal airway from wild-type control mice (A) (similar findings from Mcp-1-/- and Ccr2-/- control mice are not shown). Representative lung sections from Aspergillus antigen-treated wild-type (B), Mcp-1-/- (C) and Ccr2-/- mice (D) demonstrate intense peribronchiolar and perivascular inflammation. Aspergillus antigen exposure and sample collection are described in methods. Magnification: 20× objective.</w:t>
        <w:br/>
      </w:r>
    </w:p>
    <w:p>
      <w:r>
        <w:t xml:space="preserve">Question:  What is the magnification of the objective used in obtaining the lung sections? </w:t>
        <w:br/>
        <w:t xml:space="preserve"> </w:t>
        <w:br/>
        <w:t xml:space="preserve">A: 10× objective </w:t>
        <w:br/>
        <w:t xml:space="preserve">B: 20× objective </w:t>
        <w:br/>
        <w:t xml:space="preserve">C: 30× objective </w:t>
        <w:br/>
        <w:t xml:space="preserve">D: 40× objective  </w:t>
        <w:br/>
      </w:r>
    </w:p>
    <w:p>
      <w:r>
        <w:t>Answer:  B: 20× objective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