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images taken before and after RFA treatments. The same patient PET images were shown as Figure 1. (A) was taken before RFA treatment, (B) was taken 2 week after RFA treatment.</w:t>
        <w:br/>
      </w:r>
    </w:p>
    <w:p>
      <w:r>
        <w:t xml:space="preserve">Question:  How many images were shown as Figure 1? </w:t>
        <w:br/>
        <w:t xml:space="preserve"> </w:t>
        <w:br/>
        <w:t xml:space="preserve">A: 1 </w:t>
        <w:br/>
        <w:t xml:space="preserve">B: 2 </w:t>
        <w:br/>
        <w:t xml:space="preserve">C: 3 </w:t>
        <w:br/>
        <w:t xml:space="preserve">D: 4 </w:t>
        <w:br/>
      </w:r>
    </w:p>
    <w:p>
      <w:r>
        <w:t>Answer:  B: 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