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images taken before and after RFA treatments. The same patient PET images were shown as Figure 1. (A) was taken before RFA treatment, (B) was taken 2 week after RFA treatment.</w:t>
        <w:br/>
      </w:r>
    </w:p>
    <w:p>
      <w:r>
        <w:t xml:space="preserve">Question:  When was the second image (B) taken after the RFA treatment? </w:t>
        <w:br/>
        <w:t xml:space="preserve"> </w:t>
        <w:br/>
        <w:t xml:space="preserve">A: 2 months </w:t>
        <w:br/>
        <w:t xml:space="preserve">B: 2 weeks </w:t>
        <w:br/>
        <w:t xml:space="preserve">C: 2 days </w:t>
        <w:br/>
        <w:t xml:space="preserve">D: 20 weeks </w:t>
        <w:br/>
      </w:r>
    </w:p>
    <w:p>
      <w:r>
        <w:t>Answer:  B: 2 weeks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