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images taken before and after RFA treatments. The same patient PET images were shown as Figure 1. (A) was taken before RFA treatment, (B) was taken 2 week after RFA treatment.</w:t>
        <w:br/>
      </w:r>
    </w:p>
    <w:p>
      <w:r>
        <w:t xml:space="preserve">Question:  Is Figure 1 part of the patient's medical record? </w:t>
        <w:br/>
        <w:t xml:space="preserve"> </w:t>
        <w:br/>
        <w:t xml:space="preserve">A: Yes, it is </w:t>
        <w:br/>
        <w:t xml:space="preserve">B: No, it is not </w:t>
        <w:br/>
        <w:t xml:space="preserve">C: It is unclear </w:t>
        <w:br/>
        <w:t xml:space="preserve">D: None of the above options </w:t>
        <w:br/>
      </w:r>
    </w:p>
    <w:p>
      <w:r>
        <w:t>Answer:  A: Yes, it is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