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interphase inactive X in normal and mutant cells: histone modification and macroH2A1 association. Photomicrograph examples of normal, ICF, and Rett fibroblasts that were FITC-labeled using antisera to various modified histones. Arrows point to sex chromatin on DAPI-stained cells, and to the corresponding sex chromatin site in the FITC-labeled photo. A. Normal, ICF, and Rett fibroblasts FITC-labeled using antisera to acetylated histone H4 (acH4), acetylated histone H3 (acH3), and dimethylated K4 histone H3 (meK4H3). Note that the sex chromatin body is not stained by these antibodies and appears as a hole or a gap that occasionally contains a prominent dot (see insets). This FITC-stained dot appears to correspond to the DXZ4 domain, as described in the text. B. Normal and ICF fibroblasts labeled with antibody to dimethylated K9 histone H3 (meK9H3) and macrohistone H2A1 (macroH2A).</w:t>
        <w:br/>
      </w:r>
    </w:p>
    <w:p>
      <w:r>
        <w:t xml:space="preserve">Question:  What is the DXZ4 domain? </w:t>
        <w:br/>
        <w:t xml:space="preserve"> </w:t>
        <w:br/>
        <w:t xml:space="preserve">A: The sex chromatin body </w:t>
        <w:br/>
        <w:t xml:space="preserve">B: The hole or gap that appears occasionally </w:t>
        <w:br/>
        <w:t xml:space="preserve">C: The histone modification </w:t>
        <w:br/>
        <w:t xml:space="preserve">D: The domain that corresponds to the FITC-stained dot. </w:t>
        <w:br/>
      </w:r>
    </w:p>
    <w:p>
      <w:r>
        <w:t>Answer:  D: The domain that corresponds to the FITC-stained dot.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