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interphase inactive X in normal and mutant cells: histone modification and macroH2A1 association. Photomicrograph examples of normal, ICF, and Rett fibroblasts that were FITC-labeled using antisera to various modified histones. Arrows point to sex chromatin on DAPI-stained cells, and to the corresponding sex chromatin site in the FITC-labeled photo. A. Normal, ICF, and Rett fibroblasts FITC-labeled using antisera to acetylated histone H4 (acH4), acetylated histone H3 (acH3), and dimethylated K4 histone H3 (meK4H3). Note that the sex chromatin body is not stained by these antibodies and appears as a hole or a gap that occasionally contains a prominent dot (see insets). This FITC-stained dot appears to correspond to the DXZ4 domain, as described in the text. B. Normal and ICF fibroblasts labeled with antibody to dimethylated K9 histone H3 (meK9H3) and macrohistone H2A1 (macroH2A).</w:t>
        <w:br/>
      </w:r>
    </w:p>
    <w:p>
      <w:r>
        <w:t xml:space="preserve">Question:  What is the role of antibodies in this experiment? </w:t>
        <w:br/>
        <w:t xml:space="preserve"> </w:t>
        <w:br/>
        <w:t xml:space="preserve">A: To label cells </w:t>
        <w:br/>
        <w:t xml:space="preserve">B: To modify histones </w:t>
        <w:br/>
        <w:t xml:space="preserve">C: To identify the sex chromatin body </w:t>
        <w:br/>
        <w:t xml:space="preserve">D: To label the cells and identify the chromatin. </w:t>
        <w:br/>
      </w:r>
    </w:p>
    <w:p>
      <w:r>
        <w:t>Answer:  D: To label the cells and identify the chromatin.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