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Assessment of asynchrony in parasternal long axis view by M-mode: Time difference between peak of septal and inferior myocardial contraction.</w:t>
        <w:br/>
      </w:r>
    </w:p>
    <w:p>
      <w:r>
        <w:t xml:space="preserve">Question: What is the significance of measuring asynchrony in myocardial contraction? </w:t>
        <w:br/>
        <w:t xml:space="preserve"> </w:t>
        <w:br/>
        <w:t xml:space="preserve">A:To assess valve regurgitation </w:t>
        <w:br/>
        <w:t xml:space="preserve">B:To diagnose coronary artery disease </w:t>
        <w:br/>
        <w:t xml:space="preserve">C:To evaluate response to medical therapy </w:t>
        <w:br/>
        <w:t xml:space="preserve">D:To predict adverse cardiac events </w:t>
        <w:br/>
      </w:r>
    </w:p>
    <w:p>
      <w:r>
        <w:t xml:space="preserve">Answer:  To predict adverse cardiac events.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