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FRAP of GFP-E-APC and GFP-tagged AJ proteins in early embryonic epithelial cells. Face-on views of live ~6 hours old embryos (stage 11) expressing (a) GFP-E-APC, (b) E-cadherin-GFP, (c) Armadillo-GFP, (d) α-catenin-GFP, with white squares marking sections of cell interfaces that were bleached, and red squares marking unbleached control sections. Pre-bleaching images are shown on the left; subsequent images on the right show recovery of fluorescence within white squares 15, 75 and 300 seconds after bleaching [see additional file 1].</w:t>
        <w:br/>
      </w:r>
    </w:p>
    <w:p>
      <w:r>
        <w:t xml:space="preserve">Question:  What is being imaged in the FRAP images? </w:t>
        <w:br/>
        <w:t xml:space="preserve"> </w:t>
        <w:br/>
        <w:t xml:space="preserve">A: Nuclei </w:t>
        <w:br/>
        <w:t xml:space="preserve">B: Mitochondria </w:t>
        <w:br/>
        <w:t xml:space="preserve">C: Cell interfaces </w:t>
        <w:br/>
        <w:t xml:space="preserve">D: Extracellular matrix </w:t>
        <w:br/>
      </w:r>
    </w:p>
    <w:p>
      <w:r>
        <w:t xml:space="preserve">Answer:  C: Cell interfaces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