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FRAP of GFP-E-APC and GFP-tagged AJ proteins in early embryonic epithelial cells. Face-on views of live ~6 hours old embryos (stage 11) expressing (a) GFP-E-APC, (b) E-cadherin-GFP, (c) Armadillo-GFP, (d) α-catenin-GFP, with white squares marking sections of cell interfaces that were bleached, and red squares marking unbleached control sections. Pre-bleaching images are shown on the left; subsequent images on the right show recovery of fluorescence within white squares 15, 75 and 300 seconds after bleaching [see additional file 1].</w:t>
        <w:br/>
      </w:r>
    </w:p>
    <w:p>
      <w:r>
        <w:t xml:space="preserve">Question:  How many different GFP-tagged AJ proteins were used in the experiment? </w:t>
        <w:br/>
        <w:t xml:space="preserve"> </w:t>
        <w:br/>
        <w:t xml:space="preserve">A: 1 </w:t>
        <w:br/>
        <w:t xml:space="preserve">B: 2 </w:t>
        <w:br/>
        <w:t xml:space="preserve">C: 3 </w:t>
        <w:br/>
        <w:t xml:space="preserve">D: 4 </w:t>
        <w:br/>
      </w:r>
    </w:p>
    <w:p>
      <w:r>
        <w:t>Answer:  D: 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