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Histology of Intestinal Mucosa of Two of the Oat-Intolerant PatientsSmall intestinal biopsies were obtained at diagnosis, after an ordinary gluten-free diet (remission), after introduction of oats, and after withdrawal of oats (recovery). For patient CD496, a biopsy was not taken after she started with a gluten-free diet. Biopsies were scored according to the modified Marsh criteria. Hematoxilin-eosin staining was used, and IEL counts are given in the corners of the photomicrographs. The remission biopsy from patient CD507 was poorly oriented. We therefore melted and reoriented this biopsy (insert). Original magnification: 100×.</w:t>
        <w:br/>
      </w:r>
    </w:p>
    <w:p>
      <w:r>
        <w:t xml:space="preserve">Question:  How were the biopsies scored? </w:t>
        <w:br/>
        <w:t xml:space="preserve"> </w:t>
        <w:br/>
        <w:t xml:space="preserve">A: According to the acid-fast criteria. </w:t>
        <w:br/>
        <w:t xml:space="preserve">B: According to the modified Marsh criteria. </w:t>
        <w:br/>
        <w:t xml:space="preserve">C: According to the Gram criteria. </w:t>
        <w:br/>
        <w:t xml:space="preserve">D: According to the hematoxylin-eosin criteria. </w:t>
        <w:br/>
      </w:r>
    </w:p>
    <w:p>
      <w:r>
        <w:t>Answer:  B: According to the modified Marsh criteria.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