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Profile generation. (A) Shows a typical region of interest (contrast enhanced for visualisation) showing the trabecular bone structure, in this case aligned approximately 22° to the vertical. (B) The central section of the FFT (128 × 128 pixels). The horizontal and vertical axes have been marked with a mid-grey tone to indicate that they have been excluded from the angle calculation. The bright strip at the centre (running from top left to bottom right) shows the preferred orientation of the trabeculae. Angles calculated from the Fourier power spectrum correspond to the same angles in the spatial domain, rotated by 90°. (C) The pixels with the maximum values are marked using white squares for the first 25 spatial frequency values of the Fourier power spectrum. The median angle, lying 21.8° from the horizontal is shown by a dashed white line. (D)_The regions used to generate the parallel (shaded black) and perpendicular (shaded white) profiles, based on the orientation of the trabecular structure.</w:t>
        <w:br/>
      </w:r>
    </w:p>
    <w:p>
      <w:r>
        <w:t xml:space="preserve">Question:  What does the dashed white line in panel C represent? </w:t>
        <w:br/>
        <w:t xml:space="preserve"> </w:t>
        <w:br/>
        <w:t xml:space="preserve">A: The excluded region for angle calculation </w:t>
        <w:br/>
        <w:t xml:space="preserve">B: The trabecular bone structure </w:t>
        <w:br/>
        <w:t xml:space="preserve">C: The median angle </w:t>
        <w:br/>
        <w:t xml:space="preserve">D: The preferred orientation of the trabeculae </w:t>
        <w:br/>
      </w:r>
    </w:p>
    <w:p>
      <w:r>
        <w:t>Answer:  The median angle.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