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FMRI Insight Effect in RH aSTG(A) Voxels showing greater FMRI signal for insight than noninsight solutions, overlaid on the averaged normalized structural image of all subjects. The active area has a volume of 531 mm3 (peak t = 4.89 at 44, −9, −9 in Talairach space).(B) and (C) Group average signal change following the solution event, for insight (red line) and noninsight (blue line) solutions (yellow arrow indicates button press): (B) over entire LH aSTG region; (C) over entire RH aSTG region.(D) Insight solution signal change minus noninsight solution signal change, in RH aSTG (error bars show the standard error of the mean of the difference at each timepoint).</w:t>
        <w:br/>
      </w:r>
    </w:p>
    <w:p>
      <w:r>
        <w:t xml:space="preserve">Question:  What does the error bar indicate in the Insight solution signal change minus noninsight solution signal change graph? </w:t>
        <w:br/>
        <w:t xml:space="preserve"> </w:t>
        <w:br/>
        <w:t xml:space="preserve">A: The standard error of the mean of the difference at each timepoint </w:t>
        <w:br/>
        <w:t xml:space="preserve">B: The maximum difference between insight and noninsight solutions </w:t>
        <w:br/>
        <w:t xml:space="preserve">C: The minimum difference between insight and noninsight solutions </w:t>
        <w:br/>
        <w:t xml:space="preserve">D: The mean difference between insight and noninsight solutions </w:t>
        <w:br/>
      </w:r>
    </w:p>
    <w:p>
      <w:r>
        <w:t>Answer:  A: The standard error of the mean of the difference at each timepoint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