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Resolution and Contrast Using the Backscattered Electron Signal(A and B) Presynaptic vesicles (SV) and postsynaptic folds (SF) are clearly visible (A) in a motor endplate preparation embedded in Spurr's resin. Similarly, the hexagonal array of actin filaments (AA) can be clearly resolved (B) in a different region from the same image (both images were smoothed using the ImageJ “smooth” command). Imaging conditions for (A) and (B): electron energy, 7.5 keV; spot, 3.5; chamber pressure, 30 Pa (H2O); pixel dwell time, 30 μs. The scanning resolution was 6.7 nm/pixel.(C) The effect of beam exposure on the block surface. Note the increased brightness and the lack of chatter in the central region (inside the dashed rectangle), from which a stack was acquired at higher resolution before taking the image shown. The tissue was rat neocortex embedded in Spurr's resin. Imaging conditions for (C): electron energy, 7.5 keV; spot, 3; digital resolution for stack acquisition, 26.7 nm/pixel; dwell time, 30 μs.(D and E) Cortical tissue embedded in Epon. Synapses (SD) are clearly discernable (E). Imaging conditions for (D) and (E): electron energy, 7.5 keV beam current; spot, 3; chamber pressure, 30Pa (H2O); pixel dwell time, 30 μs. The scanning resolution was 9.5 nm/pixel.Note that more backscattering corresponds to darker pixels in (A), (B), (D), and (E) but to brighter pixels in (C).</w:t>
        <w:br/>
      </w:r>
    </w:p>
    <w:p>
      <w:r>
        <w:t xml:space="preserve">Question: What is the backscattered electron signal in the images correlated with? </w:t>
        <w:br/>
        <w:br/>
        <w:t xml:space="preserve">A:Chamber pressure. </w:t>
        <w:br/>
        <w:t xml:space="preserve">B:Pixel dwell time. </w:t>
        <w:br/>
        <w:t xml:space="preserve">C:Electron energy. </w:t>
        <w:br/>
        <w:t xml:space="preserve">D:Beam current. </w:t>
        <w:br/>
      </w:r>
    </w:p>
    <w:p>
      <w:r>
        <w:t xml:space="preserve">Answer: C:Electron energy.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